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EDA" w:rsidRDefault="00983C30">
      <w:pPr>
        <w:jc w:val="center"/>
        <w:rPr>
          <w:b/>
          <w:sz w:val="28"/>
        </w:rPr>
      </w:pPr>
      <w:bookmarkStart w:id="0" w:name="_GoBack"/>
      <w:bookmarkEnd w:id="0"/>
      <w:r>
        <w:rPr>
          <w:b/>
          <w:sz w:val="28"/>
        </w:rPr>
        <w:t>Education Service Center (ESC) Region 11</w:t>
      </w:r>
      <w:r w:rsidR="004A7FB8">
        <w:rPr>
          <w:b/>
          <w:sz w:val="28"/>
        </w:rPr>
        <w:t xml:space="preserve"> </w:t>
      </w:r>
    </w:p>
    <w:p w:rsidR="00EC788C" w:rsidRDefault="005E5B27">
      <w:pPr>
        <w:jc w:val="center"/>
        <w:rPr>
          <w:b/>
          <w:sz w:val="28"/>
        </w:rPr>
      </w:pPr>
      <w:r>
        <w:rPr>
          <w:b/>
          <w:sz w:val="28"/>
        </w:rPr>
        <w:t>Institutions of Higher Education (</w:t>
      </w:r>
      <w:r w:rsidR="00983C30">
        <w:rPr>
          <w:b/>
          <w:sz w:val="28"/>
        </w:rPr>
        <w:t>IHE</w:t>
      </w:r>
      <w:r>
        <w:rPr>
          <w:b/>
          <w:sz w:val="28"/>
        </w:rPr>
        <w:t>)</w:t>
      </w:r>
      <w:r w:rsidR="00983C30">
        <w:rPr>
          <w:b/>
          <w:sz w:val="28"/>
        </w:rPr>
        <w:t xml:space="preserve"> </w:t>
      </w:r>
      <w:r w:rsidR="00506335">
        <w:rPr>
          <w:b/>
          <w:sz w:val="28"/>
        </w:rPr>
        <w:t xml:space="preserve">Advisory </w:t>
      </w:r>
      <w:r w:rsidR="00EC788C">
        <w:rPr>
          <w:b/>
          <w:sz w:val="28"/>
        </w:rPr>
        <w:t>Meeting Agenda</w:t>
      </w:r>
    </w:p>
    <w:p w:rsidR="00506335" w:rsidRDefault="00506335">
      <w:pPr>
        <w:jc w:val="center"/>
        <w:rPr>
          <w:b/>
          <w:sz w:val="28"/>
        </w:rPr>
      </w:pPr>
    </w:p>
    <w:p w:rsidR="00FF27AA" w:rsidRPr="00FF27AA" w:rsidRDefault="00FF27AA" w:rsidP="00FF27AA">
      <w:pPr>
        <w:rPr>
          <w:vanish/>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717"/>
        <w:gridCol w:w="1448"/>
        <w:gridCol w:w="1785"/>
        <w:gridCol w:w="2700"/>
        <w:gridCol w:w="4320"/>
      </w:tblGrid>
      <w:tr w:rsidR="00506335" w:rsidTr="006E713B">
        <w:tc>
          <w:tcPr>
            <w:tcW w:w="2628" w:type="dxa"/>
            <w:tcBorders>
              <w:top w:val="single" w:sz="4" w:space="0" w:color="auto"/>
              <w:left w:val="single" w:sz="4" w:space="0" w:color="auto"/>
              <w:bottom w:val="single" w:sz="4" w:space="0" w:color="auto"/>
              <w:right w:val="single" w:sz="4" w:space="0" w:color="auto"/>
            </w:tcBorders>
          </w:tcPr>
          <w:p w:rsidR="00506335" w:rsidRDefault="00506335">
            <w:pPr>
              <w:rPr>
                <w:b/>
                <w:sz w:val="24"/>
              </w:rPr>
            </w:pPr>
            <w:r>
              <w:rPr>
                <w:b/>
                <w:sz w:val="24"/>
              </w:rPr>
              <w:t>Meeting:</w:t>
            </w:r>
          </w:p>
        </w:tc>
        <w:tc>
          <w:tcPr>
            <w:tcW w:w="11970" w:type="dxa"/>
            <w:gridSpan w:val="5"/>
            <w:tcBorders>
              <w:top w:val="single" w:sz="4" w:space="0" w:color="auto"/>
              <w:left w:val="single" w:sz="4" w:space="0" w:color="auto"/>
              <w:bottom w:val="single" w:sz="4" w:space="0" w:color="auto"/>
              <w:right w:val="single" w:sz="4" w:space="0" w:color="auto"/>
            </w:tcBorders>
          </w:tcPr>
          <w:p w:rsidR="00506335" w:rsidRDefault="00506335">
            <w:pPr>
              <w:rPr>
                <w:sz w:val="24"/>
              </w:rPr>
            </w:pPr>
            <w:r>
              <w:rPr>
                <w:sz w:val="24"/>
              </w:rPr>
              <w:t>Institutions of Higher Education Advisory Meeting</w:t>
            </w:r>
          </w:p>
        </w:tc>
      </w:tr>
      <w:tr w:rsidR="00EC788C" w:rsidTr="00506335">
        <w:tc>
          <w:tcPr>
            <w:tcW w:w="2628"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Date:</w:t>
            </w:r>
          </w:p>
        </w:tc>
        <w:tc>
          <w:tcPr>
            <w:tcW w:w="4950" w:type="dxa"/>
            <w:gridSpan w:val="3"/>
            <w:tcBorders>
              <w:top w:val="single" w:sz="4" w:space="0" w:color="auto"/>
              <w:left w:val="single" w:sz="4" w:space="0" w:color="auto"/>
              <w:bottom w:val="single" w:sz="4" w:space="0" w:color="auto"/>
              <w:right w:val="single" w:sz="4" w:space="0" w:color="auto"/>
            </w:tcBorders>
          </w:tcPr>
          <w:p w:rsidR="00EC788C" w:rsidRDefault="00C75F33">
            <w:pPr>
              <w:rPr>
                <w:sz w:val="24"/>
              </w:rPr>
            </w:pPr>
            <w:r>
              <w:rPr>
                <w:sz w:val="24"/>
              </w:rPr>
              <w:t>June 4</w:t>
            </w:r>
            <w:r w:rsidR="00CC29BD">
              <w:rPr>
                <w:sz w:val="24"/>
              </w:rPr>
              <w:t>, 2015</w:t>
            </w:r>
          </w:p>
        </w:tc>
        <w:tc>
          <w:tcPr>
            <w:tcW w:w="2700"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Meeting Leader</w:t>
            </w:r>
            <w:r w:rsidR="00812941">
              <w:rPr>
                <w:b/>
                <w:sz w:val="24"/>
              </w:rPr>
              <w:t>s</w:t>
            </w:r>
            <w:r>
              <w:rPr>
                <w:b/>
                <w:sz w:val="24"/>
              </w:rPr>
              <w:t xml:space="preserve">: </w:t>
            </w:r>
          </w:p>
        </w:tc>
        <w:tc>
          <w:tcPr>
            <w:tcW w:w="4320" w:type="dxa"/>
            <w:tcBorders>
              <w:top w:val="single" w:sz="4" w:space="0" w:color="auto"/>
              <w:left w:val="single" w:sz="4" w:space="0" w:color="auto"/>
              <w:bottom w:val="single" w:sz="4" w:space="0" w:color="auto"/>
              <w:right w:val="single" w:sz="4" w:space="0" w:color="auto"/>
            </w:tcBorders>
          </w:tcPr>
          <w:p w:rsidR="00EC788C" w:rsidRDefault="00C47732">
            <w:pPr>
              <w:rPr>
                <w:sz w:val="24"/>
              </w:rPr>
            </w:pPr>
            <w:r>
              <w:rPr>
                <w:sz w:val="24"/>
              </w:rPr>
              <w:t>Kathy Wright-Chapman, Susan Patterson</w:t>
            </w:r>
            <w:r w:rsidR="00F7483E">
              <w:rPr>
                <w:sz w:val="24"/>
              </w:rPr>
              <w:t>,</w:t>
            </w:r>
            <w:r>
              <w:rPr>
                <w:sz w:val="24"/>
              </w:rPr>
              <w:t xml:space="preserve"> and </w:t>
            </w:r>
            <w:r w:rsidR="006B410B">
              <w:rPr>
                <w:sz w:val="24"/>
              </w:rPr>
              <w:t>Dr. Jean Keller</w:t>
            </w:r>
          </w:p>
        </w:tc>
      </w:tr>
      <w:tr w:rsidR="00EC788C" w:rsidTr="00506335">
        <w:tc>
          <w:tcPr>
            <w:tcW w:w="2628"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Start Time:</w:t>
            </w:r>
          </w:p>
        </w:tc>
        <w:tc>
          <w:tcPr>
            <w:tcW w:w="1717" w:type="dxa"/>
            <w:tcBorders>
              <w:top w:val="single" w:sz="4" w:space="0" w:color="auto"/>
              <w:left w:val="single" w:sz="4" w:space="0" w:color="auto"/>
              <w:bottom w:val="single" w:sz="4" w:space="0" w:color="auto"/>
              <w:right w:val="single" w:sz="4" w:space="0" w:color="auto"/>
            </w:tcBorders>
          </w:tcPr>
          <w:p w:rsidR="00EC788C" w:rsidRDefault="00983C30">
            <w:pPr>
              <w:rPr>
                <w:sz w:val="24"/>
              </w:rPr>
            </w:pPr>
            <w:r>
              <w:rPr>
                <w:sz w:val="24"/>
              </w:rPr>
              <w:t xml:space="preserve">10:00 </w:t>
            </w:r>
            <w:r w:rsidR="006B071B">
              <w:rPr>
                <w:sz w:val="24"/>
              </w:rPr>
              <w:t>a.m.</w:t>
            </w:r>
          </w:p>
        </w:tc>
        <w:tc>
          <w:tcPr>
            <w:tcW w:w="1448"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End Time:</w:t>
            </w:r>
          </w:p>
        </w:tc>
        <w:tc>
          <w:tcPr>
            <w:tcW w:w="1785" w:type="dxa"/>
            <w:tcBorders>
              <w:top w:val="single" w:sz="4" w:space="0" w:color="auto"/>
              <w:left w:val="single" w:sz="4" w:space="0" w:color="auto"/>
              <w:bottom w:val="single" w:sz="4" w:space="0" w:color="auto"/>
              <w:right w:val="single" w:sz="4" w:space="0" w:color="auto"/>
            </w:tcBorders>
          </w:tcPr>
          <w:p w:rsidR="00EC788C" w:rsidRDefault="00983C30">
            <w:pPr>
              <w:rPr>
                <w:sz w:val="24"/>
              </w:rPr>
            </w:pPr>
            <w:r>
              <w:rPr>
                <w:sz w:val="24"/>
              </w:rPr>
              <w:t>1:00 p.m.</w:t>
            </w:r>
          </w:p>
        </w:tc>
        <w:tc>
          <w:tcPr>
            <w:tcW w:w="2700"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Facilitator:</w:t>
            </w:r>
          </w:p>
        </w:tc>
        <w:tc>
          <w:tcPr>
            <w:tcW w:w="4320" w:type="dxa"/>
            <w:tcBorders>
              <w:top w:val="single" w:sz="4" w:space="0" w:color="auto"/>
              <w:left w:val="single" w:sz="4" w:space="0" w:color="auto"/>
              <w:bottom w:val="single" w:sz="4" w:space="0" w:color="auto"/>
              <w:right w:val="single" w:sz="4" w:space="0" w:color="auto"/>
            </w:tcBorders>
          </w:tcPr>
          <w:p w:rsidR="00EC788C" w:rsidRDefault="006B410B">
            <w:pPr>
              <w:rPr>
                <w:sz w:val="24"/>
              </w:rPr>
            </w:pPr>
            <w:r>
              <w:rPr>
                <w:sz w:val="24"/>
              </w:rPr>
              <w:t>Kathy Wright-Chapman</w:t>
            </w:r>
          </w:p>
        </w:tc>
      </w:tr>
      <w:tr w:rsidR="00EC788C" w:rsidTr="00506335">
        <w:tc>
          <w:tcPr>
            <w:tcW w:w="2628"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Location:</w:t>
            </w:r>
          </w:p>
        </w:tc>
        <w:tc>
          <w:tcPr>
            <w:tcW w:w="4950" w:type="dxa"/>
            <w:gridSpan w:val="3"/>
            <w:tcBorders>
              <w:top w:val="single" w:sz="4" w:space="0" w:color="auto"/>
              <w:left w:val="single" w:sz="4" w:space="0" w:color="auto"/>
              <w:bottom w:val="single" w:sz="4" w:space="0" w:color="auto"/>
              <w:right w:val="single" w:sz="4" w:space="0" w:color="auto"/>
            </w:tcBorders>
          </w:tcPr>
          <w:p w:rsidR="00EC788C" w:rsidRPr="00915E4B" w:rsidRDefault="00C1677B">
            <w:pPr>
              <w:rPr>
                <w:sz w:val="24"/>
              </w:rPr>
            </w:pPr>
            <w:r>
              <w:rPr>
                <w:sz w:val="24"/>
              </w:rPr>
              <w:t>ESC Region 11</w:t>
            </w:r>
          </w:p>
        </w:tc>
        <w:tc>
          <w:tcPr>
            <w:tcW w:w="2700"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Process Monitor:</w:t>
            </w:r>
          </w:p>
        </w:tc>
        <w:tc>
          <w:tcPr>
            <w:tcW w:w="4320" w:type="dxa"/>
            <w:tcBorders>
              <w:top w:val="single" w:sz="4" w:space="0" w:color="auto"/>
              <w:left w:val="single" w:sz="4" w:space="0" w:color="auto"/>
              <w:bottom w:val="single" w:sz="4" w:space="0" w:color="auto"/>
              <w:right w:val="single" w:sz="4" w:space="0" w:color="auto"/>
            </w:tcBorders>
          </w:tcPr>
          <w:p w:rsidR="00EC788C" w:rsidRDefault="006B410B">
            <w:pPr>
              <w:rPr>
                <w:sz w:val="24"/>
              </w:rPr>
            </w:pPr>
            <w:r>
              <w:rPr>
                <w:sz w:val="24"/>
              </w:rPr>
              <w:t>Susan Patterson</w:t>
            </w:r>
          </w:p>
        </w:tc>
      </w:tr>
      <w:tr w:rsidR="00EC788C" w:rsidTr="00506335">
        <w:tc>
          <w:tcPr>
            <w:tcW w:w="2628"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 xml:space="preserve">Participants: </w:t>
            </w:r>
          </w:p>
        </w:tc>
        <w:tc>
          <w:tcPr>
            <w:tcW w:w="4950" w:type="dxa"/>
            <w:gridSpan w:val="3"/>
            <w:tcBorders>
              <w:top w:val="single" w:sz="4" w:space="0" w:color="auto"/>
              <w:left w:val="single" w:sz="4" w:space="0" w:color="auto"/>
              <w:bottom w:val="single" w:sz="4" w:space="0" w:color="auto"/>
              <w:right w:val="single" w:sz="4" w:space="0" w:color="auto"/>
            </w:tcBorders>
          </w:tcPr>
          <w:p w:rsidR="00EC788C" w:rsidRDefault="001D2148">
            <w:pPr>
              <w:rPr>
                <w:sz w:val="24"/>
              </w:rPr>
            </w:pPr>
            <w:r>
              <w:rPr>
                <w:sz w:val="24"/>
              </w:rPr>
              <w:t>Institutions</w:t>
            </w:r>
            <w:r w:rsidR="00C1677B">
              <w:rPr>
                <w:sz w:val="24"/>
              </w:rPr>
              <w:t xml:space="preserve"> of Higher Education and ESC Region 11 Leadership Staff </w:t>
            </w:r>
          </w:p>
        </w:tc>
        <w:tc>
          <w:tcPr>
            <w:tcW w:w="2700"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Timekeeper:</w:t>
            </w:r>
          </w:p>
        </w:tc>
        <w:tc>
          <w:tcPr>
            <w:tcW w:w="4320" w:type="dxa"/>
            <w:tcBorders>
              <w:top w:val="single" w:sz="4" w:space="0" w:color="auto"/>
              <w:left w:val="single" w:sz="4" w:space="0" w:color="auto"/>
              <w:bottom w:val="single" w:sz="4" w:space="0" w:color="auto"/>
              <w:right w:val="single" w:sz="4" w:space="0" w:color="auto"/>
            </w:tcBorders>
          </w:tcPr>
          <w:p w:rsidR="00EC788C" w:rsidRPr="00915E4B" w:rsidRDefault="0071046A">
            <w:pPr>
              <w:rPr>
                <w:sz w:val="24"/>
              </w:rPr>
            </w:pPr>
            <w:r>
              <w:rPr>
                <w:sz w:val="24"/>
              </w:rPr>
              <w:t>Kathy Wright-Chapman</w:t>
            </w:r>
          </w:p>
        </w:tc>
      </w:tr>
      <w:tr w:rsidR="00EC788C" w:rsidTr="00506335">
        <w:tc>
          <w:tcPr>
            <w:tcW w:w="2628"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 xml:space="preserve">Meeting Purpose: </w:t>
            </w:r>
          </w:p>
        </w:tc>
        <w:tc>
          <w:tcPr>
            <w:tcW w:w="4950" w:type="dxa"/>
            <w:gridSpan w:val="3"/>
            <w:tcBorders>
              <w:top w:val="single" w:sz="4" w:space="0" w:color="auto"/>
              <w:left w:val="single" w:sz="4" w:space="0" w:color="auto"/>
              <w:bottom w:val="single" w:sz="4" w:space="0" w:color="auto"/>
              <w:right w:val="single" w:sz="4" w:space="0" w:color="auto"/>
            </w:tcBorders>
          </w:tcPr>
          <w:p w:rsidR="00EC788C" w:rsidRDefault="00F7483E">
            <w:pPr>
              <w:rPr>
                <w:sz w:val="24"/>
              </w:rPr>
            </w:pPr>
            <w:r>
              <w:rPr>
                <w:sz w:val="24"/>
              </w:rPr>
              <w:t>IHE Advisory</w:t>
            </w:r>
            <w:r w:rsidR="00C1677B">
              <w:rPr>
                <w:sz w:val="24"/>
              </w:rPr>
              <w:t xml:space="preserve"> </w:t>
            </w:r>
            <w:r w:rsidR="00CC29BD">
              <w:rPr>
                <w:sz w:val="24"/>
              </w:rPr>
              <w:t>Meeting</w:t>
            </w:r>
          </w:p>
        </w:tc>
        <w:tc>
          <w:tcPr>
            <w:tcW w:w="2700"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 xml:space="preserve">Notes/Recorder: </w:t>
            </w:r>
          </w:p>
        </w:tc>
        <w:tc>
          <w:tcPr>
            <w:tcW w:w="4320" w:type="dxa"/>
            <w:tcBorders>
              <w:top w:val="single" w:sz="4" w:space="0" w:color="auto"/>
              <w:left w:val="single" w:sz="4" w:space="0" w:color="auto"/>
              <w:bottom w:val="single" w:sz="4" w:space="0" w:color="auto"/>
              <w:right w:val="single" w:sz="4" w:space="0" w:color="auto"/>
            </w:tcBorders>
          </w:tcPr>
          <w:p w:rsidR="00EC788C" w:rsidRDefault="00812941">
            <w:pPr>
              <w:rPr>
                <w:sz w:val="24"/>
              </w:rPr>
            </w:pPr>
            <w:r>
              <w:rPr>
                <w:sz w:val="24"/>
              </w:rPr>
              <w:t>Susan Patterson</w:t>
            </w:r>
          </w:p>
        </w:tc>
      </w:tr>
      <w:tr w:rsidR="00EC788C" w:rsidTr="00506335">
        <w:tc>
          <w:tcPr>
            <w:tcW w:w="2628"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 xml:space="preserve">Preparation Required: </w:t>
            </w:r>
          </w:p>
        </w:tc>
        <w:tc>
          <w:tcPr>
            <w:tcW w:w="4950" w:type="dxa"/>
            <w:gridSpan w:val="3"/>
            <w:tcBorders>
              <w:top w:val="single" w:sz="4" w:space="0" w:color="auto"/>
              <w:left w:val="single" w:sz="4" w:space="0" w:color="auto"/>
              <w:bottom w:val="single" w:sz="4" w:space="0" w:color="auto"/>
              <w:right w:val="single" w:sz="4" w:space="0" w:color="auto"/>
            </w:tcBorders>
          </w:tcPr>
          <w:p w:rsidR="00EC788C" w:rsidRDefault="00EC788C">
            <w:pPr>
              <w:rPr>
                <w:sz w:val="24"/>
              </w:rPr>
            </w:pPr>
          </w:p>
        </w:tc>
        <w:tc>
          <w:tcPr>
            <w:tcW w:w="2700" w:type="dxa"/>
            <w:tcBorders>
              <w:top w:val="single" w:sz="4" w:space="0" w:color="auto"/>
              <w:left w:val="single" w:sz="4" w:space="0" w:color="auto"/>
              <w:bottom w:val="single" w:sz="4" w:space="0" w:color="auto"/>
              <w:right w:val="single" w:sz="4" w:space="0" w:color="auto"/>
            </w:tcBorders>
          </w:tcPr>
          <w:p w:rsidR="00EC788C" w:rsidRDefault="00EC788C">
            <w:pPr>
              <w:rPr>
                <w:b/>
                <w:sz w:val="24"/>
              </w:rPr>
            </w:pPr>
            <w:r>
              <w:rPr>
                <w:b/>
                <w:sz w:val="24"/>
              </w:rPr>
              <w:t xml:space="preserve">Scribe: </w:t>
            </w:r>
          </w:p>
        </w:tc>
        <w:tc>
          <w:tcPr>
            <w:tcW w:w="4320" w:type="dxa"/>
            <w:tcBorders>
              <w:top w:val="single" w:sz="4" w:space="0" w:color="auto"/>
              <w:left w:val="single" w:sz="4" w:space="0" w:color="auto"/>
              <w:bottom w:val="single" w:sz="4" w:space="0" w:color="auto"/>
              <w:right w:val="single" w:sz="4" w:space="0" w:color="auto"/>
            </w:tcBorders>
          </w:tcPr>
          <w:p w:rsidR="00EC788C" w:rsidRPr="00915E4B" w:rsidRDefault="00C47732">
            <w:pPr>
              <w:rPr>
                <w:sz w:val="24"/>
              </w:rPr>
            </w:pPr>
            <w:r>
              <w:rPr>
                <w:sz w:val="24"/>
              </w:rPr>
              <w:t>Susan Patterson</w:t>
            </w:r>
          </w:p>
        </w:tc>
      </w:tr>
    </w:tbl>
    <w:p w:rsidR="00EC788C" w:rsidRPr="00A853A5" w:rsidRDefault="00EC788C">
      <w:pPr>
        <w:rPr>
          <w:sz w:val="16"/>
          <w:szCs w:val="16"/>
        </w:rPr>
      </w:pPr>
    </w:p>
    <w:tbl>
      <w:tblPr>
        <w:tblW w:w="14400" w:type="dxa"/>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0"/>
        <w:gridCol w:w="5220"/>
        <w:gridCol w:w="2880"/>
        <w:gridCol w:w="4680"/>
      </w:tblGrid>
      <w:tr w:rsidR="008510A9" w:rsidRPr="00506335" w:rsidTr="00F66BB3">
        <w:trPr>
          <w:trHeight w:val="143"/>
          <w:tblHeader/>
        </w:trPr>
        <w:tc>
          <w:tcPr>
            <w:tcW w:w="1620" w:type="dxa"/>
            <w:tcBorders>
              <w:top w:val="single" w:sz="12" w:space="0" w:color="auto"/>
            </w:tcBorders>
          </w:tcPr>
          <w:p w:rsidR="008510A9" w:rsidRPr="00506335" w:rsidRDefault="008510A9">
            <w:pPr>
              <w:jc w:val="center"/>
              <w:rPr>
                <w:b/>
                <w:sz w:val="22"/>
                <w:szCs w:val="22"/>
              </w:rPr>
            </w:pPr>
          </w:p>
          <w:p w:rsidR="008510A9" w:rsidRPr="00506335" w:rsidRDefault="008510A9">
            <w:pPr>
              <w:jc w:val="center"/>
              <w:rPr>
                <w:b/>
                <w:sz w:val="22"/>
                <w:szCs w:val="22"/>
              </w:rPr>
            </w:pPr>
            <w:r w:rsidRPr="00506335">
              <w:rPr>
                <w:b/>
                <w:sz w:val="22"/>
                <w:szCs w:val="22"/>
              </w:rPr>
              <w:t>Time</w:t>
            </w:r>
          </w:p>
        </w:tc>
        <w:tc>
          <w:tcPr>
            <w:tcW w:w="5220" w:type="dxa"/>
            <w:tcBorders>
              <w:top w:val="single" w:sz="12" w:space="0" w:color="auto"/>
            </w:tcBorders>
          </w:tcPr>
          <w:p w:rsidR="008510A9" w:rsidRPr="00506335" w:rsidRDefault="008510A9">
            <w:pPr>
              <w:jc w:val="center"/>
              <w:rPr>
                <w:b/>
                <w:sz w:val="22"/>
                <w:szCs w:val="22"/>
              </w:rPr>
            </w:pPr>
          </w:p>
          <w:p w:rsidR="008510A9" w:rsidRPr="00506335" w:rsidRDefault="008510A9">
            <w:pPr>
              <w:jc w:val="center"/>
              <w:rPr>
                <w:b/>
                <w:sz w:val="22"/>
                <w:szCs w:val="22"/>
              </w:rPr>
            </w:pPr>
            <w:r w:rsidRPr="00506335">
              <w:rPr>
                <w:b/>
                <w:sz w:val="22"/>
                <w:szCs w:val="22"/>
              </w:rPr>
              <w:t>Topic</w:t>
            </w:r>
          </w:p>
        </w:tc>
        <w:tc>
          <w:tcPr>
            <w:tcW w:w="2880" w:type="dxa"/>
            <w:tcBorders>
              <w:top w:val="single" w:sz="12" w:space="0" w:color="auto"/>
            </w:tcBorders>
          </w:tcPr>
          <w:p w:rsidR="008510A9" w:rsidRPr="00506335" w:rsidRDefault="008510A9">
            <w:pPr>
              <w:jc w:val="center"/>
              <w:rPr>
                <w:b/>
                <w:sz w:val="22"/>
                <w:szCs w:val="22"/>
              </w:rPr>
            </w:pPr>
          </w:p>
          <w:p w:rsidR="008510A9" w:rsidRPr="00506335" w:rsidRDefault="008510A9">
            <w:pPr>
              <w:jc w:val="center"/>
              <w:rPr>
                <w:b/>
                <w:sz w:val="22"/>
                <w:szCs w:val="22"/>
              </w:rPr>
            </w:pPr>
            <w:r w:rsidRPr="00506335">
              <w:rPr>
                <w:b/>
                <w:sz w:val="22"/>
                <w:szCs w:val="22"/>
              </w:rPr>
              <w:t>Discussion Leader</w:t>
            </w:r>
          </w:p>
        </w:tc>
        <w:tc>
          <w:tcPr>
            <w:tcW w:w="4680" w:type="dxa"/>
            <w:tcBorders>
              <w:top w:val="single" w:sz="12" w:space="0" w:color="auto"/>
            </w:tcBorders>
          </w:tcPr>
          <w:p w:rsidR="008510A9" w:rsidRPr="00506335" w:rsidRDefault="008510A9">
            <w:pPr>
              <w:jc w:val="center"/>
              <w:rPr>
                <w:b/>
                <w:sz w:val="22"/>
                <w:szCs w:val="22"/>
              </w:rPr>
            </w:pPr>
          </w:p>
          <w:p w:rsidR="008510A9" w:rsidRPr="00506335" w:rsidRDefault="008510A9">
            <w:pPr>
              <w:jc w:val="center"/>
              <w:rPr>
                <w:b/>
                <w:sz w:val="22"/>
                <w:szCs w:val="22"/>
              </w:rPr>
            </w:pPr>
            <w:r w:rsidRPr="00506335">
              <w:rPr>
                <w:b/>
                <w:sz w:val="22"/>
                <w:szCs w:val="22"/>
              </w:rPr>
              <w:t>Desired Outcome</w:t>
            </w:r>
          </w:p>
        </w:tc>
      </w:tr>
      <w:tr w:rsidR="008510A9" w:rsidRPr="00346A28" w:rsidTr="00F7483E">
        <w:trPr>
          <w:trHeight w:val="1785"/>
        </w:trPr>
        <w:tc>
          <w:tcPr>
            <w:tcW w:w="1620" w:type="dxa"/>
          </w:tcPr>
          <w:p w:rsidR="008510A9" w:rsidRPr="00346A28" w:rsidRDefault="00106115" w:rsidP="00F7483E">
            <w:pPr>
              <w:rPr>
                <w:rFonts w:asciiTheme="minorHAnsi" w:hAnsiTheme="minorHAnsi"/>
                <w:sz w:val="24"/>
                <w:szCs w:val="24"/>
              </w:rPr>
            </w:pPr>
            <w:r w:rsidRPr="00346A28">
              <w:rPr>
                <w:rFonts w:asciiTheme="minorHAnsi" w:hAnsiTheme="minorHAnsi"/>
                <w:sz w:val="24"/>
                <w:szCs w:val="24"/>
              </w:rPr>
              <w:t>10:00</w:t>
            </w:r>
            <w:r w:rsidR="00F7483E">
              <w:rPr>
                <w:rFonts w:asciiTheme="minorHAnsi" w:hAnsiTheme="minorHAnsi"/>
                <w:sz w:val="24"/>
                <w:szCs w:val="24"/>
              </w:rPr>
              <w:t xml:space="preserve"> a.m.</w:t>
            </w:r>
            <w:r w:rsidRPr="00346A28">
              <w:rPr>
                <w:rFonts w:asciiTheme="minorHAnsi" w:hAnsiTheme="minorHAnsi"/>
                <w:sz w:val="24"/>
                <w:szCs w:val="24"/>
              </w:rPr>
              <w:t xml:space="preserve"> </w:t>
            </w:r>
            <w:r w:rsidR="008510A9" w:rsidRPr="00346A28">
              <w:rPr>
                <w:rFonts w:asciiTheme="minorHAnsi" w:hAnsiTheme="minorHAnsi"/>
                <w:sz w:val="24"/>
                <w:szCs w:val="24"/>
              </w:rPr>
              <w:t xml:space="preserve">– </w:t>
            </w:r>
            <w:r w:rsidR="007B500A" w:rsidRPr="00346A28">
              <w:rPr>
                <w:rFonts w:asciiTheme="minorHAnsi" w:hAnsiTheme="minorHAnsi"/>
                <w:sz w:val="24"/>
                <w:szCs w:val="24"/>
              </w:rPr>
              <w:t>11:00</w:t>
            </w:r>
            <w:r w:rsidR="00F7483E">
              <w:rPr>
                <w:rFonts w:asciiTheme="minorHAnsi" w:hAnsiTheme="minorHAnsi"/>
                <w:sz w:val="24"/>
                <w:szCs w:val="24"/>
              </w:rPr>
              <w:t xml:space="preserve"> a.m.</w:t>
            </w:r>
          </w:p>
        </w:tc>
        <w:tc>
          <w:tcPr>
            <w:tcW w:w="5220" w:type="dxa"/>
          </w:tcPr>
          <w:p w:rsidR="008510A9" w:rsidRPr="00346A28" w:rsidRDefault="008510A9" w:rsidP="00DB74A2">
            <w:pPr>
              <w:numPr>
                <w:ilvl w:val="0"/>
                <w:numId w:val="9"/>
              </w:numPr>
              <w:rPr>
                <w:rFonts w:asciiTheme="minorHAnsi" w:hAnsiTheme="minorHAnsi"/>
                <w:sz w:val="24"/>
                <w:szCs w:val="24"/>
              </w:rPr>
            </w:pPr>
            <w:r w:rsidRPr="00346A28">
              <w:rPr>
                <w:rFonts w:asciiTheme="minorHAnsi" w:hAnsiTheme="minorHAnsi"/>
                <w:sz w:val="24"/>
                <w:szCs w:val="24"/>
              </w:rPr>
              <w:t>Welcome</w:t>
            </w:r>
            <w:r w:rsidR="00827858" w:rsidRPr="00346A28">
              <w:rPr>
                <w:rFonts w:asciiTheme="minorHAnsi" w:hAnsiTheme="minorHAnsi"/>
                <w:sz w:val="24"/>
                <w:szCs w:val="24"/>
              </w:rPr>
              <w:t xml:space="preserve"> and </w:t>
            </w:r>
            <w:r w:rsidRPr="00346A28">
              <w:rPr>
                <w:rFonts w:asciiTheme="minorHAnsi" w:hAnsiTheme="minorHAnsi"/>
                <w:sz w:val="24"/>
                <w:szCs w:val="24"/>
              </w:rPr>
              <w:t>Introductions</w:t>
            </w:r>
          </w:p>
          <w:p w:rsidR="00827858" w:rsidRPr="00346A28" w:rsidRDefault="00827858" w:rsidP="00827858">
            <w:pPr>
              <w:ind w:left="720"/>
              <w:rPr>
                <w:rFonts w:asciiTheme="minorHAnsi" w:hAnsiTheme="minorHAnsi"/>
                <w:sz w:val="24"/>
                <w:szCs w:val="24"/>
              </w:rPr>
            </w:pPr>
          </w:p>
          <w:p w:rsidR="008510A9" w:rsidRPr="00346A28" w:rsidRDefault="008510A9" w:rsidP="00DB74A2">
            <w:pPr>
              <w:numPr>
                <w:ilvl w:val="0"/>
                <w:numId w:val="9"/>
              </w:numPr>
              <w:rPr>
                <w:rFonts w:asciiTheme="minorHAnsi" w:hAnsiTheme="minorHAnsi"/>
                <w:sz w:val="24"/>
                <w:szCs w:val="24"/>
              </w:rPr>
            </w:pPr>
            <w:r w:rsidRPr="00346A28">
              <w:rPr>
                <w:rFonts w:asciiTheme="minorHAnsi" w:hAnsiTheme="minorHAnsi"/>
                <w:sz w:val="24"/>
                <w:szCs w:val="24"/>
              </w:rPr>
              <w:t>Meetin</w:t>
            </w:r>
            <w:r w:rsidR="00577404" w:rsidRPr="00346A28">
              <w:rPr>
                <w:rFonts w:asciiTheme="minorHAnsi" w:hAnsiTheme="minorHAnsi"/>
                <w:sz w:val="24"/>
                <w:szCs w:val="24"/>
              </w:rPr>
              <w:t xml:space="preserve">g Purpose and Outcome:  Strengthen existing </w:t>
            </w:r>
            <w:r w:rsidRPr="00346A28">
              <w:rPr>
                <w:rFonts w:asciiTheme="minorHAnsi" w:hAnsiTheme="minorHAnsi"/>
                <w:sz w:val="24"/>
                <w:szCs w:val="24"/>
              </w:rPr>
              <w:t>ESC Region 11</w:t>
            </w:r>
            <w:r w:rsidR="004B4DBB" w:rsidRPr="00346A28">
              <w:rPr>
                <w:rFonts w:asciiTheme="minorHAnsi" w:hAnsiTheme="minorHAnsi"/>
                <w:sz w:val="24"/>
                <w:szCs w:val="24"/>
              </w:rPr>
              <w:t xml:space="preserve"> </w:t>
            </w:r>
            <w:r w:rsidR="00577404" w:rsidRPr="00346A28">
              <w:rPr>
                <w:rFonts w:asciiTheme="minorHAnsi" w:hAnsiTheme="minorHAnsi"/>
                <w:sz w:val="24"/>
                <w:szCs w:val="24"/>
              </w:rPr>
              <w:t>P</w:t>
            </w:r>
            <w:r w:rsidR="00106115" w:rsidRPr="00346A28">
              <w:rPr>
                <w:rFonts w:asciiTheme="minorHAnsi" w:hAnsiTheme="minorHAnsi"/>
                <w:sz w:val="24"/>
                <w:szCs w:val="24"/>
              </w:rPr>
              <w:t>-</w:t>
            </w:r>
            <w:r w:rsidR="00577404" w:rsidRPr="00346A28">
              <w:rPr>
                <w:rFonts w:asciiTheme="minorHAnsi" w:hAnsiTheme="minorHAnsi"/>
                <w:sz w:val="24"/>
                <w:szCs w:val="24"/>
              </w:rPr>
              <w:t xml:space="preserve">16 partnerships to ensure </w:t>
            </w:r>
            <w:r w:rsidRPr="00346A28">
              <w:rPr>
                <w:rFonts w:asciiTheme="minorHAnsi" w:hAnsiTheme="minorHAnsi"/>
                <w:sz w:val="24"/>
                <w:szCs w:val="24"/>
              </w:rPr>
              <w:t xml:space="preserve"> districts and charters </w:t>
            </w:r>
            <w:r w:rsidR="00577404" w:rsidRPr="00346A28">
              <w:rPr>
                <w:rFonts w:asciiTheme="minorHAnsi" w:hAnsiTheme="minorHAnsi"/>
                <w:sz w:val="24"/>
                <w:szCs w:val="24"/>
              </w:rPr>
              <w:t xml:space="preserve">access </w:t>
            </w:r>
            <w:r w:rsidRPr="00346A28">
              <w:rPr>
                <w:rFonts w:asciiTheme="minorHAnsi" w:hAnsiTheme="minorHAnsi"/>
                <w:sz w:val="24"/>
                <w:szCs w:val="24"/>
              </w:rPr>
              <w:t>to IHE resources</w:t>
            </w:r>
          </w:p>
          <w:p w:rsidR="00827858" w:rsidRPr="00346A28" w:rsidRDefault="00827858" w:rsidP="00827858">
            <w:pPr>
              <w:rPr>
                <w:rFonts w:asciiTheme="minorHAnsi" w:hAnsiTheme="minorHAnsi"/>
                <w:sz w:val="24"/>
                <w:szCs w:val="24"/>
              </w:rPr>
            </w:pPr>
          </w:p>
          <w:p w:rsidR="00CC29BD" w:rsidRPr="00346A28" w:rsidRDefault="00F7483E" w:rsidP="00812941">
            <w:pPr>
              <w:numPr>
                <w:ilvl w:val="0"/>
                <w:numId w:val="9"/>
              </w:numPr>
              <w:rPr>
                <w:rFonts w:asciiTheme="minorHAnsi" w:hAnsiTheme="minorHAnsi"/>
                <w:sz w:val="24"/>
                <w:szCs w:val="24"/>
              </w:rPr>
            </w:pPr>
            <w:r>
              <w:rPr>
                <w:rFonts w:asciiTheme="minorHAnsi" w:hAnsiTheme="minorHAnsi"/>
                <w:sz w:val="24"/>
                <w:szCs w:val="24"/>
              </w:rPr>
              <w:t xml:space="preserve">ESC Region 11 </w:t>
            </w:r>
            <w:r w:rsidR="007B216E" w:rsidRPr="00346A28">
              <w:rPr>
                <w:rFonts w:asciiTheme="minorHAnsi" w:hAnsiTheme="minorHAnsi"/>
                <w:sz w:val="24"/>
                <w:szCs w:val="24"/>
              </w:rPr>
              <w:t>Texas Academic Performance Report (TAPR formerly AEIS)</w:t>
            </w:r>
            <w:r w:rsidR="004B4DBB" w:rsidRPr="00346A28">
              <w:rPr>
                <w:rFonts w:asciiTheme="minorHAnsi" w:hAnsiTheme="minorHAnsi"/>
                <w:sz w:val="24"/>
                <w:szCs w:val="24"/>
              </w:rPr>
              <w:t xml:space="preserve"> Data</w:t>
            </w:r>
            <w:r w:rsidR="002174BA" w:rsidRPr="00346A28">
              <w:rPr>
                <w:rFonts w:asciiTheme="minorHAnsi" w:hAnsiTheme="minorHAnsi"/>
                <w:sz w:val="24"/>
                <w:szCs w:val="24"/>
              </w:rPr>
              <w:t>*</w:t>
            </w:r>
          </w:p>
          <w:p w:rsidR="004B4DBB" w:rsidRPr="00346A28" w:rsidRDefault="004B4DBB" w:rsidP="00812941">
            <w:pPr>
              <w:rPr>
                <w:rFonts w:asciiTheme="minorHAnsi" w:hAnsiTheme="minorHAnsi"/>
                <w:sz w:val="24"/>
                <w:szCs w:val="24"/>
              </w:rPr>
            </w:pPr>
          </w:p>
          <w:p w:rsidR="008510A9" w:rsidRPr="00346A28" w:rsidRDefault="00812941" w:rsidP="00DB74A2">
            <w:pPr>
              <w:numPr>
                <w:ilvl w:val="0"/>
                <w:numId w:val="9"/>
              </w:numPr>
              <w:rPr>
                <w:rFonts w:asciiTheme="minorHAnsi" w:hAnsiTheme="minorHAnsi"/>
                <w:sz w:val="24"/>
                <w:szCs w:val="24"/>
              </w:rPr>
            </w:pPr>
            <w:r w:rsidRPr="00346A28">
              <w:rPr>
                <w:rFonts w:asciiTheme="minorHAnsi" w:hAnsiTheme="minorHAnsi"/>
                <w:sz w:val="24"/>
                <w:szCs w:val="24"/>
              </w:rPr>
              <w:t xml:space="preserve">High School Graduation Requirements </w:t>
            </w:r>
            <w:r w:rsidR="00CC29BD" w:rsidRPr="00346A28">
              <w:rPr>
                <w:rFonts w:asciiTheme="minorHAnsi" w:hAnsiTheme="minorHAnsi"/>
                <w:sz w:val="24"/>
                <w:szCs w:val="24"/>
              </w:rPr>
              <w:t>Update</w:t>
            </w:r>
          </w:p>
          <w:p w:rsidR="007B216E" w:rsidRPr="00F7483E" w:rsidRDefault="007B216E" w:rsidP="00F7483E">
            <w:pPr>
              <w:pStyle w:val="ListParagraph"/>
              <w:numPr>
                <w:ilvl w:val="1"/>
                <w:numId w:val="17"/>
              </w:numPr>
              <w:ind w:left="1080"/>
              <w:rPr>
                <w:rFonts w:asciiTheme="minorHAnsi" w:hAnsiTheme="minorHAnsi"/>
                <w:sz w:val="24"/>
                <w:szCs w:val="24"/>
              </w:rPr>
            </w:pPr>
            <w:r w:rsidRPr="00F7483E">
              <w:rPr>
                <w:rFonts w:asciiTheme="minorHAnsi" w:hAnsiTheme="minorHAnsi"/>
                <w:sz w:val="24"/>
                <w:szCs w:val="24"/>
              </w:rPr>
              <w:t>HB5 Summary/Implications*</w:t>
            </w:r>
          </w:p>
          <w:p w:rsidR="007B216E" w:rsidRPr="00F7483E" w:rsidRDefault="007B216E" w:rsidP="00F7483E">
            <w:pPr>
              <w:pStyle w:val="ListParagraph"/>
              <w:numPr>
                <w:ilvl w:val="1"/>
                <w:numId w:val="17"/>
              </w:numPr>
              <w:ind w:left="1080"/>
              <w:rPr>
                <w:rFonts w:asciiTheme="minorHAnsi" w:hAnsiTheme="minorHAnsi"/>
                <w:sz w:val="24"/>
                <w:szCs w:val="24"/>
              </w:rPr>
            </w:pPr>
            <w:r w:rsidRPr="00F7483E">
              <w:rPr>
                <w:rFonts w:asciiTheme="minorHAnsi" w:hAnsiTheme="minorHAnsi"/>
                <w:sz w:val="24"/>
                <w:szCs w:val="24"/>
              </w:rPr>
              <w:t>SB149 Assessment Graduation Requirements</w:t>
            </w:r>
            <w:r w:rsidR="00623EB5" w:rsidRPr="00F7483E">
              <w:rPr>
                <w:rFonts w:asciiTheme="minorHAnsi" w:hAnsiTheme="minorHAnsi"/>
                <w:sz w:val="24"/>
                <w:szCs w:val="24"/>
              </w:rPr>
              <w:t>*</w:t>
            </w:r>
          </w:p>
          <w:p w:rsidR="007B216E" w:rsidRPr="00F7483E" w:rsidRDefault="007B216E" w:rsidP="00F7483E">
            <w:pPr>
              <w:pStyle w:val="ListParagraph"/>
              <w:numPr>
                <w:ilvl w:val="0"/>
                <w:numId w:val="16"/>
              </w:numPr>
              <w:ind w:left="1080"/>
              <w:rPr>
                <w:rFonts w:asciiTheme="minorHAnsi" w:hAnsiTheme="minorHAnsi"/>
                <w:sz w:val="24"/>
                <w:szCs w:val="24"/>
              </w:rPr>
            </w:pPr>
            <w:r w:rsidRPr="00F7483E">
              <w:rPr>
                <w:rFonts w:asciiTheme="minorHAnsi" w:hAnsiTheme="minorHAnsi"/>
                <w:sz w:val="24"/>
                <w:szCs w:val="24"/>
              </w:rPr>
              <w:t xml:space="preserve">HB181 Information Required on HS </w:t>
            </w:r>
            <w:r w:rsidR="00623EB5" w:rsidRPr="00F7483E">
              <w:rPr>
                <w:rFonts w:asciiTheme="minorHAnsi" w:hAnsiTheme="minorHAnsi"/>
                <w:sz w:val="24"/>
                <w:szCs w:val="24"/>
              </w:rPr>
              <w:t xml:space="preserve">         </w:t>
            </w:r>
            <w:r w:rsidRPr="00F7483E">
              <w:rPr>
                <w:rFonts w:asciiTheme="minorHAnsi" w:hAnsiTheme="minorHAnsi"/>
                <w:sz w:val="24"/>
                <w:szCs w:val="24"/>
              </w:rPr>
              <w:t>Diplomas</w:t>
            </w:r>
            <w:r w:rsidR="00623EB5" w:rsidRPr="00F7483E">
              <w:rPr>
                <w:rFonts w:asciiTheme="minorHAnsi" w:hAnsiTheme="minorHAnsi"/>
                <w:sz w:val="24"/>
                <w:szCs w:val="24"/>
              </w:rPr>
              <w:t>*</w:t>
            </w:r>
          </w:p>
          <w:p w:rsidR="007B216E" w:rsidRPr="00F7483E" w:rsidRDefault="007B216E" w:rsidP="00F7483E">
            <w:pPr>
              <w:pStyle w:val="ListParagraph"/>
              <w:numPr>
                <w:ilvl w:val="0"/>
                <w:numId w:val="16"/>
              </w:numPr>
              <w:ind w:left="1080"/>
              <w:rPr>
                <w:rFonts w:asciiTheme="minorHAnsi" w:hAnsiTheme="minorHAnsi"/>
                <w:sz w:val="24"/>
                <w:szCs w:val="24"/>
              </w:rPr>
            </w:pPr>
            <w:r w:rsidRPr="00F7483E">
              <w:rPr>
                <w:rFonts w:asciiTheme="minorHAnsi" w:hAnsiTheme="minorHAnsi"/>
                <w:sz w:val="24"/>
                <w:szCs w:val="24"/>
              </w:rPr>
              <w:t>Texas Senate Education Reform Bills*</w:t>
            </w:r>
          </w:p>
          <w:p w:rsidR="00623EB5" w:rsidRPr="007C23E3" w:rsidRDefault="007B216E" w:rsidP="007B216E">
            <w:pPr>
              <w:pStyle w:val="ListParagraph"/>
              <w:numPr>
                <w:ilvl w:val="0"/>
                <w:numId w:val="16"/>
              </w:numPr>
              <w:ind w:left="1080"/>
              <w:rPr>
                <w:rFonts w:asciiTheme="minorHAnsi" w:hAnsiTheme="minorHAnsi"/>
                <w:sz w:val="24"/>
                <w:szCs w:val="24"/>
              </w:rPr>
            </w:pPr>
            <w:r w:rsidRPr="00F7483E">
              <w:rPr>
                <w:rFonts w:asciiTheme="minorHAnsi" w:hAnsiTheme="minorHAnsi"/>
                <w:sz w:val="24"/>
                <w:szCs w:val="24"/>
              </w:rPr>
              <w:t>Texas Education Today, April 2015</w:t>
            </w:r>
            <w:r w:rsidR="00623EB5" w:rsidRPr="00F7483E">
              <w:rPr>
                <w:rFonts w:asciiTheme="minorHAnsi" w:hAnsiTheme="minorHAnsi"/>
                <w:sz w:val="24"/>
                <w:szCs w:val="24"/>
              </w:rPr>
              <w:t>*</w:t>
            </w:r>
          </w:p>
          <w:p w:rsidR="00812941" w:rsidRPr="00346A28" w:rsidRDefault="00812941" w:rsidP="00DB74A2">
            <w:pPr>
              <w:numPr>
                <w:ilvl w:val="0"/>
                <w:numId w:val="9"/>
              </w:numPr>
              <w:rPr>
                <w:rFonts w:asciiTheme="minorHAnsi" w:hAnsiTheme="minorHAnsi"/>
                <w:sz w:val="24"/>
                <w:szCs w:val="24"/>
              </w:rPr>
            </w:pPr>
            <w:r w:rsidRPr="00346A28">
              <w:rPr>
                <w:rFonts w:asciiTheme="minorHAnsi" w:hAnsiTheme="minorHAnsi"/>
                <w:sz w:val="24"/>
                <w:szCs w:val="24"/>
              </w:rPr>
              <w:lastRenderedPageBreak/>
              <w:t>E</w:t>
            </w:r>
            <w:r w:rsidR="00862C9E">
              <w:rPr>
                <w:rFonts w:asciiTheme="minorHAnsi" w:hAnsiTheme="minorHAnsi"/>
                <w:sz w:val="24"/>
                <w:szCs w:val="24"/>
              </w:rPr>
              <w:t>nglish Language Arts (E</w:t>
            </w:r>
            <w:r w:rsidRPr="00346A28">
              <w:rPr>
                <w:rFonts w:asciiTheme="minorHAnsi" w:hAnsiTheme="minorHAnsi"/>
                <w:sz w:val="24"/>
                <w:szCs w:val="24"/>
              </w:rPr>
              <w:t>LA</w:t>
            </w:r>
            <w:r w:rsidR="00862C9E">
              <w:rPr>
                <w:rFonts w:asciiTheme="minorHAnsi" w:hAnsiTheme="minorHAnsi"/>
                <w:sz w:val="24"/>
                <w:szCs w:val="24"/>
              </w:rPr>
              <w:t>)</w:t>
            </w:r>
            <w:r w:rsidRPr="00346A28">
              <w:rPr>
                <w:rFonts w:asciiTheme="minorHAnsi" w:hAnsiTheme="minorHAnsi"/>
                <w:sz w:val="24"/>
                <w:szCs w:val="24"/>
              </w:rPr>
              <w:t xml:space="preserve"> and Mathematics College Preparatory Course Implementation </w:t>
            </w:r>
            <w:r w:rsidR="00862C9E">
              <w:rPr>
                <w:rFonts w:asciiTheme="minorHAnsi" w:hAnsiTheme="minorHAnsi"/>
                <w:sz w:val="24"/>
                <w:szCs w:val="24"/>
              </w:rPr>
              <w:t>-</w:t>
            </w:r>
            <w:r w:rsidR="007C23E3">
              <w:rPr>
                <w:rFonts w:asciiTheme="minorHAnsi" w:hAnsiTheme="minorHAnsi"/>
                <w:sz w:val="24"/>
                <w:szCs w:val="24"/>
              </w:rPr>
              <w:t xml:space="preserve"> </w:t>
            </w:r>
            <w:r w:rsidRPr="00346A28">
              <w:rPr>
                <w:rFonts w:asciiTheme="minorHAnsi" w:hAnsiTheme="minorHAnsi"/>
                <w:sz w:val="24"/>
                <w:szCs w:val="24"/>
              </w:rPr>
              <w:t>Success</w:t>
            </w:r>
            <w:r w:rsidR="00862C9E">
              <w:rPr>
                <w:rFonts w:asciiTheme="minorHAnsi" w:hAnsiTheme="minorHAnsi"/>
                <w:sz w:val="24"/>
                <w:szCs w:val="24"/>
              </w:rPr>
              <w:t>es</w:t>
            </w:r>
            <w:r w:rsidRPr="00346A28">
              <w:rPr>
                <w:rFonts w:asciiTheme="minorHAnsi" w:hAnsiTheme="minorHAnsi"/>
                <w:sz w:val="24"/>
                <w:szCs w:val="24"/>
              </w:rPr>
              <w:t xml:space="preserve"> and Challenges</w:t>
            </w:r>
            <w:r w:rsidR="00862C9E">
              <w:rPr>
                <w:rFonts w:asciiTheme="minorHAnsi" w:hAnsiTheme="minorHAnsi"/>
                <w:sz w:val="24"/>
                <w:szCs w:val="24"/>
              </w:rPr>
              <w:t xml:space="preserve"> </w:t>
            </w:r>
          </w:p>
          <w:p w:rsidR="00812941" w:rsidRPr="00346A28" w:rsidRDefault="00812941" w:rsidP="00346A28">
            <w:pPr>
              <w:ind w:left="360"/>
              <w:rPr>
                <w:rFonts w:asciiTheme="minorHAnsi" w:hAnsiTheme="minorHAnsi"/>
                <w:sz w:val="24"/>
                <w:szCs w:val="24"/>
              </w:rPr>
            </w:pPr>
          </w:p>
          <w:p w:rsidR="00D8061B" w:rsidRPr="007C23E3" w:rsidRDefault="00862C9E" w:rsidP="007C23E3">
            <w:pPr>
              <w:numPr>
                <w:ilvl w:val="0"/>
                <w:numId w:val="9"/>
              </w:numPr>
              <w:rPr>
                <w:rFonts w:asciiTheme="minorHAnsi" w:hAnsiTheme="minorHAnsi"/>
                <w:sz w:val="24"/>
                <w:szCs w:val="24"/>
              </w:rPr>
            </w:pPr>
            <w:r>
              <w:rPr>
                <w:rFonts w:asciiTheme="minorHAnsi" w:hAnsiTheme="minorHAnsi"/>
                <w:sz w:val="24"/>
                <w:szCs w:val="24"/>
              </w:rPr>
              <w:t>Impact of the HB5 High School Graduation Endorsement</w:t>
            </w:r>
            <w:r w:rsidR="00812941" w:rsidRPr="00346A28">
              <w:rPr>
                <w:rFonts w:asciiTheme="minorHAnsi" w:hAnsiTheme="minorHAnsi"/>
                <w:sz w:val="24"/>
                <w:szCs w:val="24"/>
              </w:rPr>
              <w:t xml:space="preserve"> </w:t>
            </w:r>
            <w:r>
              <w:rPr>
                <w:rFonts w:asciiTheme="minorHAnsi" w:hAnsiTheme="minorHAnsi"/>
                <w:sz w:val="24"/>
                <w:szCs w:val="24"/>
              </w:rPr>
              <w:t xml:space="preserve">Requirement on IHE </w:t>
            </w:r>
            <w:r w:rsidR="00812941" w:rsidRPr="00346A28">
              <w:rPr>
                <w:rFonts w:asciiTheme="minorHAnsi" w:hAnsiTheme="minorHAnsi"/>
                <w:sz w:val="24"/>
                <w:szCs w:val="24"/>
              </w:rPr>
              <w:t>Admission</w:t>
            </w:r>
            <w:r>
              <w:rPr>
                <w:rFonts w:asciiTheme="minorHAnsi" w:hAnsiTheme="minorHAnsi"/>
                <w:sz w:val="24"/>
                <w:szCs w:val="24"/>
              </w:rPr>
              <w:t xml:space="preserve"> </w:t>
            </w:r>
          </w:p>
        </w:tc>
        <w:tc>
          <w:tcPr>
            <w:tcW w:w="2880" w:type="dxa"/>
          </w:tcPr>
          <w:p w:rsidR="00A853A5" w:rsidRPr="00346A28" w:rsidRDefault="008510A9" w:rsidP="00814245">
            <w:pPr>
              <w:jc w:val="center"/>
              <w:rPr>
                <w:rFonts w:asciiTheme="minorHAnsi" w:hAnsiTheme="minorHAnsi"/>
                <w:sz w:val="24"/>
                <w:szCs w:val="24"/>
              </w:rPr>
            </w:pPr>
            <w:r w:rsidRPr="00346A28">
              <w:rPr>
                <w:rFonts w:asciiTheme="minorHAnsi" w:hAnsiTheme="minorHAnsi"/>
                <w:sz w:val="24"/>
                <w:szCs w:val="24"/>
              </w:rPr>
              <w:lastRenderedPageBreak/>
              <w:t>Kathy Wright-Chapman</w:t>
            </w:r>
          </w:p>
          <w:p w:rsidR="00812941" w:rsidRPr="00346A28" w:rsidRDefault="00812941" w:rsidP="00A853A5">
            <w:pPr>
              <w:jc w:val="center"/>
              <w:rPr>
                <w:rFonts w:asciiTheme="minorHAnsi" w:hAnsiTheme="minorHAnsi"/>
                <w:sz w:val="24"/>
                <w:szCs w:val="24"/>
              </w:rPr>
            </w:pPr>
          </w:p>
          <w:p w:rsidR="00812941" w:rsidRPr="00346A28" w:rsidRDefault="00812941" w:rsidP="00A853A5">
            <w:pPr>
              <w:jc w:val="center"/>
              <w:rPr>
                <w:rFonts w:asciiTheme="minorHAnsi" w:hAnsiTheme="minorHAnsi"/>
                <w:sz w:val="24"/>
                <w:szCs w:val="24"/>
              </w:rPr>
            </w:pPr>
          </w:p>
          <w:p w:rsidR="00812941" w:rsidRPr="00346A28" w:rsidRDefault="00812941" w:rsidP="00A853A5">
            <w:pPr>
              <w:jc w:val="center"/>
              <w:rPr>
                <w:rFonts w:asciiTheme="minorHAnsi" w:hAnsiTheme="minorHAnsi"/>
                <w:sz w:val="24"/>
                <w:szCs w:val="24"/>
              </w:rPr>
            </w:pPr>
          </w:p>
          <w:p w:rsidR="00812941" w:rsidRPr="00346A28" w:rsidRDefault="00812941" w:rsidP="00A853A5">
            <w:pPr>
              <w:jc w:val="center"/>
              <w:rPr>
                <w:rFonts w:asciiTheme="minorHAnsi" w:hAnsiTheme="minorHAnsi"/>
                <w:sz w:val="24"/>
                <w:szCs w:val="24"/>
              </w:rPr>
            </w:pPr>
          </w:p>
          <w:p w:rsidR="00812941" w:rsidRPr="00346A28" w:rsidRDefault="00812941" w:rsidP="00A853A5">
            <w:pPr>
              <w:jc w:val="center"/>
              <w:rPr>
                <w:rFonts w:asciiTheme="minorHAnsi" w:hAnsiTheme="minorHAnsi"/>
                <w:sz w:val="24"/>
                <w:szCs w:val="24"/>
              </w:rPr>
            </w:pPr>
          </w:p>
          <w:p w:rsidR="00812941" w:rsidRPr="00346A28" w:rsidRDefault="00812941" w:rsidP="00A853A5">
            <w:pPr>
              <w:jc w:val="center"/>
              <w:rPr>
                <w:rFonts w:asciiTheme="minorHAnsi" w:hAnsiTheme="minorHAnsi"/>
                <w:sz w:val="24"/>
                <w:szCs w:val="24"/>
              </w:rPr>
            </w:pPr>
          </w:p>
          <w:p w:rsidR="00346A28" w:rsidRPr="00346A28" w:rsidRDefault="00346A28" w:rsidP="00A853A5">
            <w:pPr>
              <w:jc w:val="center"/>
              <w:rPr>
                <w:rFonts w:asciiTheme="minorHAnsi" w:hAnsiTheme="minorHAnsi"/>
                <w:sz w:val="24"/>
                <w:szCs w:val="24"/>
              </w:rPr>
            </w:pPr>
          </w:p>
          <w:p w:rsidR="00346A28" w:rsidRPr="00346A28" w:rsidRDefault="00346A28" w:rsidP="00A853A5">
            <w:pPr>
              <w:jc w:val="center"/>
              <w:rPr>
                <w:rFonts w:asciiTheme="minorHAnsi" w:hAnsiTheme="minorHAnsi"/>
                <w:sz w:val="24"/>
                <w:szCs w:val="24"/>
              </w:rPr>
            </w:pPr>
          </w:p>
          <w:p w:rsidR="00346A28" w:rsidRPr="00346A28" w:rsidRDefault="00346A28" w:rsidP="00A853A5">
            <w:pPr>
              <w:jc w:val="center"/>
              <w:rPr>
                <w:rFonts w:asciiTheme="minorHAnsi" w:hAnsiTheme="minorHAnsi"/>
                <w:sz w:val="24"/>
                <w:szCs w:val="24"/>
              </w:rPr>
            </w:pPr>
          </w:p>
          <w:p w:rsidR="00812941" w:rsidRPr="00346A28" w:rsidRDefault="00812941" w:rsidP="00812941">
            <w:pPr>
              <w:rPr>
                <w:rFonts w:asciiTheme="minorHAnsi" w:hAnsiTheme="minorHAnsi"/>
                <w:sz w:val="24"/>
                <w:szCs w:val="24"/>
              </w:rPr>
            </w:pPr>
          </w:p>
          <w:p w:rsidR="008510A9" w:rsidRPr="00346A28" w:rsidRDefault="00280785" w:rsidP="00812941">
            <w:pPr>
              <w:jc w:val="center"/>
              <w:rPr>
                <w:rFonts w:asciiTheme="minorHAnsi" w:hAnsiTheme="minorHAnsi"/>
                <w:sz w:val="24"/>
                <w:szCs w:val="24"/>
              </w:rPr>
            </w:pPr>
            <w:r w:rsidRPr="00346A28">
              <w:rPr>
                <w:rFonts w:asciiTheme="minorHAnsi" w:hAnsiTheme="minorHAnsi"/>
                <w:sz w:val="24"/>
                <w:szCs w:val="24"/>
              </w:rPr>
              <w:t>Susan Patterson</w:t>
            </w:r>
          </w:p>
          <w:p w:rsidR="008510A9" w:rsidRPr="00346A28" w:rsidRDefault="008510A9">
            <w:pPr>
              <w:jc w:val="center"/>
              <w:rPr>
                <w:rFonts w:asciiTheme="minorHAnsi" w:hAnsiTheme="minorHAnsi"/>
                <w:sz w:val="24"/>
                <w:szCs w:val="24"/>
              </w:rPr>
            </w:pPr>
          </w:p>
          <w:p w:rsidR="00812941" w:rsidRPr="00346A28" w:rsidRDefault="00812941">
            <w:pPr>
              <w:jc w:val="center"/>
              <w:rPr>
                <w:rFonts w:asciiTheme="minorHAnsi" w:hAnsiTheme="minorHAnsi"/>
                <w:sz w:val="24"/>
                <w:szCs w:val="24"/>
              </w:rPr>
            </w:pPr>
          </w:p>
          <w:p w:rsidR="00812941" w:rsidRPr="00346A28" w:rsidRDefault="00812941">
            <w:pPr>
              <w:jc w:val="center"/>
              <w:rPr>
                <w:rFonts w:asciiTheme="minorHAnsi" w:hAnsiTheme="minorHAnsi"/>
                <w:sz w:val="24"/>
                <w:szCs w:val="24"/>
              </w:rPr>
            </w:pPr>
          </w:p>
          <w:p w:rsidR="00346A28" w:rsidRPr="00346A28" w:rsidRDefault="00346A28">
            <w:pPr>
              <w:jc w:val="center"/>
              <w:rPr>
                <w:rFonts w:asciiTheme="minorHAnsi" w:hAnsiTheme="minorHAnsi"/>
                <w:sz w:val="24"/>
                <w:szCs w:val="24"/>
              </w:rPr>
            </w:pPr>
          </w:p>
          <w:p w:rsidR="00346A28" w:rsidRPr="00346A28" w:rsidRDefault="00346A28">
            <w:pPr>
              <w:jc w:val="center"/>
              <w:rPr>
                <w:rFonts w:asciiTheme="minorHAnsi" w:hAnsiTheme="minorHAnsi"/>
                <w:sz w:val="24"/>
                <w:szCs w:val="24"/>
              </w:rPr>
            </w:pPr>
          </w:p>
          <w:p w:rsidR="00346A28" w:rsidRDefault="00346A28">
            <w:pPr>
              <w:jc w:val="center"/>
              <w:rPr>
                <w:rFonts w:asciiTheme="minorHAnsi" w:hAnsiTheme="minorHAnsi"/>
                <w:sz w:val="24"/>
                <w:szCs w:val="24"/>
              </w:rPr>
            </w:pPr>
          </w:p>
          <w:p w:rsidR="00346A28" w:rsidRPr="00346A28" w:rsidRDefault="00346A28">
            <w:pPr>
              <w:jc w:val="center"/>
              <w:rPr>
                <w:rFonts w:asciiTheme="minorHAnsi" w:hAnsiTheme="minorHAnsi"/>
                <w:sz w:val="24"/>
                <w:szCs w:val="24"/>
              </w:rPr>
            </w:pPr>
          </w:p>
          <w:p w:rsidR="00812941" w:rsidRPr="00346A28" w:rsidRDefault="00812941">
            <w:pPr>
              <w:jc w:val="center"/>
              <w:rPr>
                <w:rFonts w:asciiTheme="minorHAnsi" w:hAnsiTheme="minorHAnsi"/>
                <w:sz w:val="24"/>
                <w:szCs w:val="24"/>
              </w:rPr>
            </w:pPr>
            <w:r w:rsidRPr="00346A28">
              <w:rPr>
                <w:rFonts w:asciiTheme="minorHAnsi" w:hAnsiTheme="minorHAnsi"/>
                <w:sz w:val="24"/>
                <w:szCs w:val="24"/>
              </w:rPr>
              <w:t>IHE Partners</w:t>
            </w:r>
          </w:p>
          <w:p w:rsidR="00812941" w:rsidRPr="00346A28" w:rsidRDefault="00812941">
            <w:pPr>
              <w:jc w:val="center"/>
              <w:rPr>
                <w:rFonts w:asciiTheme="minorHAnsi" w:hAnsiTheme="minorHAnsi"/>
                <w:sz w:val="24"/>
                <w:szCs w:val="24"/>
              </w:rPr>
            </w:pPr>
          </w:p>
          <w:p w:rsidR="00812941" w:rsidRPr="00346A28" w:rsidRDefault="00812941">
            <w:pPr>
              <w:jc w:val="center"/>
              <w:rPr>
                <w:rFonts w:asciiTheme="minorHAnsi" w:hAnsiTheme="minorHAnsi"/>
                <w:sz w:val="24"/>
                <w:szCs w:val="24"/>
              </w:rPr>
            </w:pPr>
          </w:p>
          <w:p w:rsidR="00812941" w:rsidRPr="00346A28" w:rsidRDefault="00812941">
            <w:pPr>
              <w:jc w:val="center"/>
              <w:rPr>
                <w:rFonts w:asciiTheme="minorHAnsi" w:hAnsiTheme="minorHAnsi"/>
                <w:sz w:val="24"/>
                <w:szCs w:val="24"/>
              </w:rPr>
            </w:pPr>
          </w:p>
          <w:p w:rsidR="002C218D" w:rsidRPr="00346A28" w:rsidRDefault="002C218D">
            <w:pPr>
              <w:jc w:val="center"/>
              <w:rPr>
                <w:rFonts w:asciiTheme="minorHAnsi" w:hAnsiTheme="minorHAnsi"/>
                <w:sz w:val="24"/>
                <w:szCs w:val="24"/>
              </w:rPr>
            </w:pPr>
          </w:p>
          <w:p w:rsidR="00812941" w:rsidRPr="00346A28" w:rsidRDefault="00812941">
            <w:pPr>
              <w:jc w:val="center"/>
              <w:rPr>
                <w:rFonts w:asciiTheme="minorHAnsi" w:hAnsiTheme="minorHAnsi"/>
                <w:sz w:val="24"/>
                <w:szCs w:val="24"/>
              </w:rPr>
            </w:pPr>
            <w:r w:rsidRPr="00346A28">
              <w:rPr>
                <w:rFonts w:asciiTheme="minorHAnsi" w:hAnsiTheme="minorHAnsi"/>
                <w:sz w:val="24"/>
                <w:szCs w:val="24"/>
              </w:rPr>
              <w:t>IHE Partners</w:t>
            </w:r>
          </w:p>
        </w:tc>
        <w:tc>
          <w:tcPr>
            <w:tcW w:w="4680" w:type="dxa"/>
          </w:tcPr>
          <w:p w:rsidR="008510A9" w:rsidRPr="00346A28" w:rsidRDefault="00F7483E" w:rsidP="00973F94">
            <w:pPr>
              <w:rPr>
                <w:rFonts w:asciiTheme="minorHAnsi" w:hAnsiTheme="minorHAnsi"/>
                <w:sz w:val="24"/>
                <w:szCs w:val="24"/>
              </w:rPr>
            </w:pPr>
            <w:r>
              <w:rPr>
                <w:rFonts w:asciiTheme="minorHAnsi" w:hAnsiTheme="minorHAnsi"/>
                <w:sz w:val="24"/>
                <w:szCs w:val="24"/>
              </w:rPr>
              <w:lastRenderedPageBreak/>
              <w:t xml:space="preserve">The Education Service Center Region 11 </w:t>
            </w:r>
            <w:r w:rsidR="008510A9" w:rsidRPr="00346A28">
              <w:rPr>
                <w:rFonts w:asciiTheme="minorHAnsi" w:hAnsiTheme="minorHAnsi"/>
                <w:sz w:val="24"/>
                <w:szCs w:val="24"/>
              </w:rPr>
              <w:t>Institution</w:t>
            </w:r>
            <w:r w:rsidR="00CC29BD" w:rsidRPr="00346A28">
              <w:rPr>
                <w:rFonts w:asciiTheme="minorHAnsi" w:hAnsiTheme="minorHAnsi"/>
                <w:sz w:val="24"/>
                <w:szCs w:val="24"/>
              </w:rPr>
              <w:t>s</w:t>
            </w:r>
            <w:r w:rsidR="008510A9" w:rsidRPr="00346A28">
              <w:rPr>
                <w:rFonts w:asciiTheme="minorHAnsi" w:hAnsiTheme="minorHAnsi"/>
                <w:sz w:val="24"/>
                <w:szCs w:val="24"/>
              </w:rPr>
              <w:t xml:space="preserve"> of Higher Education (IHE) Advisory </w:t>
            </w:r>
            <w:r w:rsidR="007C23E3">
              <w:rPr>
                <w:rFonts w:asciiTheme="minorHAnsi" w:hAnsiTheme="minorHAnsi"/>
                <w:sz w:val="24"/>
                <w:szCs w:val="24"/>
              </w:rPr>
              <w:t xml:space="preserve">Committee </w:t>
            </w:r>
            <w:r>
              <w:rPr>
                <w:rFonts w:asciiTheme="minorHAnsi" w:hAnsiTheme="minorHAnsi"/>
                <w:sz w:val="24"/>
                <w:szCs w:val="24"/>
              </w:rPr>
              <w:t>meeting</w:t>
            </w:r>
            <w:r w:rsidR="008510A9" w:rsidRPr="00346A28">
              <w:rPr>
                <w:rFonts w:asciiTheme="minorHAnsi" w:hAnsiTheme="minorHAnsi"/>
                <w:sz w:val="24"/>
                <w:szCs w:val="24"/>
              </w:rPr>
              <w:t xml:space="preserve"> </w:t>
            </w:r>
            <w:r>
              <w:rPr>
                <w:rFonts w:asciiTheme="minorHAnsi" w:hAnsiTheme="minorHAnsi"/>
                <w:sz w:val="24"/>
                <w:szCs w:val="24"/>
              </w:rPr>
              <w:t xml:space="preserve">will improve students’ </w:t>
            </w:r>
            <w:r w:rsidRPr="00346A28">
              <w:rPr>
                <w:rFonts w:asciiTheme="minorHAnsi" w:hAnsiTheme="minorHAnsi"/>
                <w:sz w:val="24"/>
                <w:szCs w:val="24"/>
              </w:rPr>
              <w:t xml:space="preserve">college and career readiness and success </w:t>
            </w:r>
            <w:r w:rsidR="007C23E3">
              <w:rPr>
                <w:rFonts w:asciiTheme="minorHAnsi" w:hAnsiTheme="minorHAnsi"/>
                <w:sz w:val="24"/>
                <w:szCs w:val="24"/>
              </w:rPr>
              <w:t xml:space="preserve">by </w:t>
            </w:r>
            <w:r w:rsidR="008510A9" w:rsidRPr="00346A28">
              <w:rPr>
                <w:rFonts w:asciiTheme="minorHAnsi" w:hAnsiTheme="minorHAnsi"/>
                <w:sz w:val="24"/>
                <w:szCs w:val="24"/>
              </w:rPr>
              <w:t>strengthen</w:t>
            </w:r>
            <w:r w:rsidR="007C23E3">
              <w:rPr>
                <w:rFonts w:asciiTheme="minorHAnsi" w:hAnsiTheme="minorHAnsi"/>
                <w:sz w:val="24"/>
                <w:szCs w:val="24"/>
              </w:rPr>
              <w:t>ing</w:t>
            </w:r>
            <w:r w:rsidR="008510A9" w:rsidRPr="00346A28">
              <w:rPr>
                <w:rFonts w:asciiTheme="minorHAnsi" w:hAnsiTheme="minorHAnsi"/>
                <w:sz w:val="24"/>
                <w:szCs w:val="24"/>
              </w:rPr>
              <w:t xml:space="preserve"> regional relationships between district</w:t>
            </w:r>
            <w:r>
              <w:rPr>
                <w:rFonts w:asciiTheme="minorHAnsi" w:hAnsiTheme="minorHAnsi"/>
                <w:sz w:val="24"/>
                <w:szCs w:val="24"/>
              </w:rPr>
              <w:t>s</w:t>
            </w:r>
            <w:r w:rsidR="008510A9" w:rsidRPr="00346A28">
              <w:rPr>
                <w:rFonts w:asciiTheme="minorHAnsi" w:hAnsiTheme="minorHAnsi"/>
                <w:sz w:val="24"/>
                <w:szCs w:val="24"/>
              </w:rPr>
              <w:t xml:space="preserve"> and charter schools and IHEs. </w:t>
            </w:r>
          </w:p>
          <w:p w:rsidR="008510A9" w:rsidRPr="00346A28" w:rsidRDefault="008510A9" w:rsidP="007E594E">
            <w:pPr>
              <w:rPr>
                <w:rFonts w:asciiTheme="minorHAnsi" w:hAnsiTheme="minorHAnsi"/>
                <w:sz w:val="24"/>
                <w:szCs w:val="24"/>
              </w:rPr>
            </w:pPr>
          </w:p>
        </w:tc>
      </w:tr>
      <w:tr w:rsidR="008510A9" w:rsidRPr="00346A28" w:rsidTr="00F66BB3">
        <w:trPr>
          <w:trHeight w:val="324"/>
        </w:trPr>
        <w:tc>
          <w:tcPr>
            <w:tcW w:w="1620" w:type="dxa"/>
          </w:tcPr>
          <w:p w:rsidR="008510A9" w:rsidRPr="00346A28" w:rsidRDefault="007B500A">
            <w:pPr>
              <w:rPr>
                <w:rFonts w:asciiTheme="minorHAnsi" w:hAnsiTheme="minorHAnsi"/>
                <w:sz w:val="24"/>
                <w:szCs w:val="24"/>
              </w:rPr>
            </w:pPr>
            <w:r w:rsidRPr="00346A28">
              <w:rPr>
                <w:rFonts w:asciiTheme="minorHAnsi" w:hAnsiTheme="minorHAnsi"/>
                <w:sz w:val="24"/>
                <w:szCs w:val="24"/>
              </w:rPr>
              <w:lastRenderedPageBreak/>
              <w:t>11:00</w:t>
            </w:r>
            <w:r w:rsidR="008510A9" w:rsidRPr="00346A28">
              <w:rPr>
                <w:rFonts w:asciiTheme="minorHAnsi" w:hAnsiTheme="minorHAnsi"/>
                <w:sz w:val="24"/>
                <w:szCs w:val="24"/>
              </w:rPr>
              <w:t xml:space="preserve"> </w:t>
            </w:r>
            <w:r w:rsidR="0078608E">
              <w:rPr>
                <w:rFonts w:asciiTheme="minorHAnsi" w:hAnsiTheme="minorHAnsi"/>
                <w:sz w:val="24"/>
                <w:szCs w:val="24"/>
              </w:rPr>
              <w:t xml:space="preserve">a.m. </w:t>
            </w:r>
            <w:r w:rsidR="008510A9" w:rsidRPr="00346A28">
              <w:rPr>
                <w:rFonts w:asciiTheme="minorHAnsi" w:hAnsiTheme="minorHAnsi"/>
                <w:sz w:val="24"/>
                <w:szCs w:val="24"/>
              </w:rPr>
              <w:t>– 11:</w:t>
            </w:r>
            <w:r w:rsidRPr="00346A28">
              <w:rPr>
                <w:rFonts w:asciiTheme="minorHAnsi" w:hAnsiTheme="minorHAnsi"/>
                <w:sz w:val="24"/>
                <w:szCs w:val="24"/>
              </w:rPr>
              <w:t>45</w:t>
            </w:r>
            <w:r w:rsidR="0078608E">
              <w:rPr>
                <w:rFonts w:asciiTheme="minorHAnsi" w:hAnsiTheme="minorHAnsi"/>
                <w:sz w:val="24"/>
                <w:szCs w:val="24"/>
              </w:rPr>
              <w:t xml:space="preserve"> a.m.</w:t>
            </w:r>
          </w:p>
        </w:tc>
        <w:tc>
          <w:tcPr>
            <w:tcW w:w="5220" w:type="dxa"/>
            <w:tcBorders>
              <w:bottom w:val="single" w:sz="4" w:space="0" w:color="auto"/>
            </w:tcBorders>
          </w:tcPr>
          <w:p w:rsidR="00346A28" w:rsidRPr="00346A28" w:rsidRDefault="00812941" w:rsidP="007B216E">
            <w:pPr>
              <w:pStyle w:val="ListParagraph"/>
              <w:numPr>
                <w:ilvl w:val="0"/>
                <w:numId w:val="14"/>
              </w:numPr>
              <w:spacing w:line="240" w:lineRule="auto"/>
              <w:rPr>
                <w:rFonts w:asciiTheme="minorHAnsi" w:hAnsiTheme="minorHAnsi"/>
                <w:sz w:val="24"/>
                <w:szCs w:val="24"/>
              </w:rPr>
            </w:pPr>
            <w:r w:rsidRPr="00346A28">
              <w:rPr>
                <w:rFonts w:asciiTheme="minorHAnsi" w:hAnsiTheme="minorHAnsi"/>
                <w:sz w:val="24"/>
                <w:szCs w:val="24"/>
              </w:rPr>
              <w:t xml:space="preserve">Working Lunch: </w:t>
            </w:r>
          </w:p>
          <w:p w:rsidR="007B216E" w:rsidRPr="00346A28" w:rsidRDefault="00346A28" w:rsidP="007C23E3">
            <w:pPr>
              <w:pStyle w:val="ListParagraph"/>
              <w:numPr>
                <w:ilvl w:val="0"/>
                <w:numId w:val="18"/>
              </w:numPr>
              <w:spacing w:line="240" w:lineRule="auto"/>
              <w:ind w:left="1080"/>
              <w:rPr>
                <w:rFonts w:asciiTheme="minorHAnsi" w:hAnsiTheme="minorHAnsi"/>
                <w:sz w:val="24"/>
                <w:szCs w:val="24"/>
              </w:rPr>
            </w:pPr>
            <w:r w:rsidRPr="00346A28">
              <w:rPr>
                <w:rFonts w:asciiTheme="minorHAnsi" w:hAnsiTheme="minorHAnsi"/>
                <w:sz w:val="24"/>
                <w:szCs w:val="24"/>
              </w:rPr>
              <w:t xml:space="preserve">Article:  </w:t>
            </w:r>
            <w:r w:rsidRPr="00346A28">
              <w:rPr>
                <w:rFonts w:asciiTheme="minorHAnsi" w:hAnsiTheme="minorHAnsi"/>
                <w:i/>
                <w:sz w:val="24"/>
                <w:szCs w:val="24"/>
              </w:rPr>
              <w:t>Latino Students’ Culture Shock Entering Four-Year Colleges</w:t>
            </w:r>
            <w:r w:rsidR="00812941" w:rsidRPr="00346A28">
              <w:rPr>
                <w:rFonts w:asciiTheme="minorHAnsi" w:hAnsiTheme="minorHAnsi"/>
                <w:sz w:val="24"/>
                <w:szCs w:val="24"/>
              </w:rPr>
              <w:t xml:space="preserve"> </w:t>
            </w:r>
          </w:p>
          <w:p w:rsidR="008510A9" w:rsidRPr="00BD1F45" w:rsidRDefault="00CC29BD" w:rsidP="00BD1F45">
            <w:pPr>
              <w:pStyle w:val="ListParagraph"/>
              <w:numPr>
                <w:ilvl w:val="0"/>
                <w:numId w:val="18"/>
              </w:numPr>
              <w:spacing w:line="240" w:lineRule="auto"/>
              <w:ind w:left="1080"/>
              <w:rPr>
                <w:rFonts w:asciiTheme="minorHAnsi" w:hAnsiTheme="minorHAnsi"/>
                <w:sz w:val="24"/>
                <w:szCs w:val="24"/>
              </w:rPr>
            </w:pPr>
            <w:r w:rsidRPr="00346A28">
              <w:rPr>
                <w:rFonts w:asciiTheme="minorHAnsi" w:hAnsiTheme="minorHAnsi"/>
                <w:sz w:val="24"/>
                <w:szCs w:val="24"/>
              </w:rPr>
              <w:t xml:space="preserve">Discuss the Role of High School </w:t>
            </w:r>
            <w:r w:rsidR="007B500A" w:rsidRPr="00346A28">
              <w:rPr>
                <w:rFonts w:asciiTheme="minorHAnsi" w:hAnsiTheme="minorHAnsi"/>
                <w:sz w:val="24"/>
                <w:szCs w:val="24"/>
              </w:rPr>
              <w:t xml:space="preserve">and IHE </w:t>
            </w:r>
            <w:r w:rsidR="004B4DBB" w:rsidRPr="00346A28">
              <w:rPr>
                <w:rFonts w:asciiTheme="minorHAnsi" w:hAnsiTheme="minorHAnsi"/>
                <w:sz w:val="24"/>
                <w:szCs w:val="24"/>
              </w:rPr>
              <w:t xml:space="preserve">Counselors </w:t>
            </w:r>
            <w:r w:rsidRPr="00346A28">
              <w:rPr>
                <w:rFonts w:asciiTheme="minorHAnsi" w:hAnsiTheme="minorHAnsi"/>
                <w:sz w:val="24"/>
                <w:szCs w:val="24"/>
              </w:rPr>
              <w:t xml:space="preserve"> in Supporting Student and Family Access to </w:t>
            </w:r>
            <w:r w:rsidR="00BD1F45">
              <w:rPr>
                <w:rFonts w:asciiTheme="minorHAnsi" w:hAnsiTheme="minorHAnsi"/>
                <w:sz w:val="24"/>
                <w:szCs w:val="24"/>
              </w:rPr>
              <w:t xml:space="preserve">Higher Education Certification </w:t>
            </w:r>
            <w:r w:rsidRPr="00BD1F45">
              <w:rPr>
                <w:rFonts w:asciiTheme="minorHAnsi" w:hAnsiTheme="minorHAnsi"/>
                <w:sz w:val="24"/>
                <w:szCs w:val="24"/>
              </w:rPr>
              <w:t>Two-Year Degrees and Four-Year Degree</w:t>
            </w:r>
            <w:r w:rsidR="0078608E" w:rsidRPr="00BD1F45">
              <w:rPr>
                <w:rFonts w:asciiTheme="minorHAnsi" w:hAnsiTheme="minorHAnsi"/>
                <w:sz w:val="24"/>
                <w:szCs w:val="24"/>
              </w:rPr>
              <w:t>s</w:t>
            </w:r>
          </w:p>
        </w:tc>
        <w:tc>
          <w:tcPr>
            <w:tcW w:w="2880" w:type="dxa"/>
          </w:tcPr>
          <w:p w:rsidR="00473DFF" w:rsidRPr="00346A28" w:rsidRDefault="00473DFF" w:rsidP="00473DFF">
            <w:pPr>
              <w:jc w:val="center"/>
              <w:rPr>
                <w:rFonts w:asciiTheme="minorHAnsi" w:hAnsiTheme="minorHAnsi"/>
                <w:sz w:val="24"/>
                <w:szCs w:val="24"/>
              </w:rPr>
            </w:pPr>
            <w:r w:rsidRPr="00346A28">
              <w:rPr>
                <w:rFonts w:asciiTheme="minorHAnsi" w:hAnsiTheme="minorHAnsi"/>
                <w:sz w:val="24"/>
                <w:szCs w:val="24"/>
              </w:rPr>
              <w:t>Dr. Jean Keller</w:t>
            </w:r>
          </w:p>
          <w:p w:rsidR="00473DFF" w:rsidRPr="00346A28" w:rsidRDefault="00473DFF" w:rsidP="00473DFF">
            <w:pPr>
              <w:jc w:val="center"/>
              <w:rPr>
                <w:rFonts w:asciiTheme="minorHAnsi" w:hAnsiTheme="minorHAnsi"/>
                <w:sz w:val="24"/>
                <w:szCs w:val="24"/>
              </w:rPr>
            </w:pPr>
            <w:r w:rsidRPr="00346A28">
              <w:rPr>
                <w:rFonts w:asciiTheme="minorHAnsi" w:hAnsiTheme="minorHAnsi"/>
                <w:sz w:val="24"/>
                <w:szCs w:val="24"/>
              </w:rPr>
              <w:t>Kathy Wright-Chapman</w:t>
            </w:r>
          </w:p>
          <w:p w:rsidR="008510A9" w:rsidRPr="00346A28" w:rsidRDefault="00473DFF" w:rsidP="00473DFF">
            <w:pPr>
              <w:jc w:val="center"/>
              <w:rPr>
                <w:rFonts w:asciiTheme="minorHAnsi" w:hAnsiTheme="minorHAnsi"/>
                <w:sz w:val="24"/>
                <w:szCs w:val="24"/>
              </w:rPr>
            </w:pPr>
            <w:r w:rsidRPr="00346A28">
              <w:rPr>
                <w:rFonts w:asciiTheme="minorHAnsi" w:hAnsiTheme="minorHAnsi"/>
                <w:sz w:val="24"/>
                <w:szCs w:val="24"/>
              </w:rPr>
              <w:t>Susan Patterson</w:t>
            </w:r>
          </w:p>
        </w:tc>
        <w:tc>
          <w:tcPr>
            <w:tcW w:w="4680" w:type="dxa"/>
          </w:tcPr>
          <w:p w:rsidR="008510A9" w:rsidRPr="00346A28" w:rsidRDefault="008510A9">
            <w:pPr>
              <w:rPr>
                <w:rFonts w:asciiTheme="minorHAnsi" w:hAnsiTheme="minorHAnsi"/>
                <w:sz w:val="24"/>
                <w:szCs w:val="24"/>
              </w:rPr>
            </w:pPr>
          </w:p>
          <w:p w:rsidR="007B500A" w:rsidRPr="00346A28" w:rsidRDefault="007B500A">
            <w:pPr>
              <w:rPr>
                <w:rFonts w:asciiTheme="minorHAnsi" w:hAnsiTheme="minorHAnsi"/>
                <w:sz w:val="24"/>
                <w:szCs w:val="24"/>
              </w:rPr>
            </w:pPr>
          </w:p>
          <w:p w:rsidR="007B500A" w:rsidRPr="00346A28" w:rsidRDefault="007B500A">
            <w:pPr>
              <w:rPr>
                <w:rFonts w:asciiTheme="minorHAnsi" w:hAnsiTheme="minorHAnsi"/>
                <w:sz w:val="24"/>
                <w:szCs w:val="24"/>
              </w:rPr>
            </w:pPr>
          </w:p>
          <w:p w:rsidR="007B500A" w:rsidRPr="00346A28" w:rsidRDefault="007B500A">
            <w:pPr>
              <w:rPr>
                <w:rFonts w:asciiTheme="minorHAnsi" w:hAnsiTheme="minorHAnsi"/>
                <w:sz w:val="24"/>
                <w:szCs w:val="24"/>
              </w:rPr>
            </w:pPr>
          </w:p>
          <w:p w:rsidR="007B500A" w:rsidRPr="00346A28" w:rsidRDefault="007B500A">
            <w:pPr>
              <w:rPr>
                <w:rFonts w:asciiTheme="minorHAnsi" w:hAnsiTheme="minorHAnsi"/>
                <w:sz w:val="24"/>
                <w:szCs w:val="24"/>
              </w:rPr>
            </w:pPr>
          </w:p>
          <w:p w:rsidR="007B500A" w:rsidRPr="00346A28" w:rsidRDefault="007B500A">
            <w:pPr>
              <w:rPr>
                <w:rFonts w:asciiTheme="minorHAnsi" w:hAnsiTheme="minorHAnsi"/>
                <w:sz w:val="24"/>
                <w:szCs w:val="24"/>
              </w:rPr>
            </w:pPr>
          </w:p>
        </w:tc>
      </w:tr>
      <w:tr w:rsidR="008510A9" w:rsidRPr="00346A28" w:rsidTr="00F66BB3">
        <w:trPr>
          <w:trHeight w:val="65"/>
        </w:trPr>
        <w:tc>
          <w:tcPr>
            <w:tcW w:w="1620" w:type="dxa"/>
            <w:tcBorders>
              <w:bottom w:val="single" w:sz="12" w:space="0" w:color="auto"/>
              <w:right w:val="single" w:sz="4" w:space="0" w:color="auto"/>
            </w:tcBorders>
          </w:tcPr>
          <w:p w:rsidR="008510A9" w:rsidRPr="00346A28" w:rsidRDefault="00A11B4F">
            <w:pPr>
              <w:rPr>
                <w:rFonts w:asciiTheme="minorHAnsi" w:hAnsiTheme="minorHAnsi"/>
                <w:sz w:val="24"/>
                <w:szCs w:val="24"/>
              </w:rPr>
            </w:pPr>
            <w:r w:rsidRPr="00346A28">
              <w:rPr>
                <w:rFonts w:asciiTheme="minorHAnsi" w:hAnsiTheme="minorHAnsi"/>
                <w:sz w:val="24"/>
                <w:szCs w:val="24"/>
              </w:rPr>
              <w:t>11:45</w:t>
            </w:r>
            <w:r w:rsidR="00F66BB3">
              <w:rPr>
                <w:rFonts w:asciiTheme="minorHAnsi" w:hAnsiTheme="minorHAnsi"/>
                <w:sz w:val="24"/>
                <w:szCs w:val="24"/>
              </w:rPr>
              <w:t xml:space="preserve"> a.m.</w:t>
            </w:r>
            <w:r w:rsidRPr="00346A28">
              <w:rPr>
                <w:rFonts w:asciiTheme="minorHAnsi" w:hAnsiTheme="minorHAnsi"/>
                <w:sz w:val="24"/>
                <w:szCs w:val="24"/>
              </w:rPr>
              <w:t xml:space="preserve"> – 1:00</w:t>
            </w:r>
            <w:r w:rsidR="00F66BB3">
              <w:rPr>
                <w:rFonts w:asciiTheme="minorHAnsi" w:hAnsiTheme="minorHAnsi"/>
                <w:sz w:val="24"/>
                <w:szCs w:val="24"/>
              </w:rPr>
              <w:t xml:space="preserve"> p.m.</w:t>
            </w:r>
          </w:p>
          <w:p w:rsidR="008510A9" w:rsidRPr="00346A28" w:rsidRDefault="008510A9">
            <w:pPr>
              <w:rPr>
                <w:rFonts w:asciiTheme="minorHAnsi" w:hAnsiTheme="minorHAnsi"/>
                <w:sz w:val="24"/>
                <w:szCs w:val="24"/>
              </w:rPr>
            </w:pPr>
          </w:p>
          <w:p w:rsidR="008510A9" w:rsidRPr="00346A28" w:rsidRDefault="008510A9">
            <w:pPr>
              <w:rPr>
                <w:rFonts w:asciiTheme="minorHAnsi" w:hAnsiTheme="minorHAnsi"/>
                <w:sz w:val="24"/>
                <w:szCs w:val="24"/>
              </w:rPr>
            </w:pPr>
          </w:p>
          <w:p w:rsidR="008510A9" w:rsidRPr="00346A28" w:rsidRDefault="008510A9">
            <w:pPr>
              <w:rPr>
                <w:rFonts w:asciiTheme="minorHAnsi" w:hAnsiTheme="minorHAnsi"/>
                <w:sz w:val="24"/>
                <w:szCs w:val="24"/>
              </w:rPr>
            </w:pPr>
          </w:p>
          <w:p w:rsidR="008510A9" w:rsidRPr="00346A28" w:rsidRDefault="008510A9">
            <w:pPr>
              <w:rPr>
                <w:rFonts w:asciiTheme="minorHAnsi" w:hAnsiTheme="minorHAnsi"/>
                <w:sz w:val="24"/>
                <w:szCs w:val="24"/>
              </w:rPr>
            </w:pPr>
          </w:p>
          <w:p w:rsidR="008510A9" w:rsidRPr="00346A28" w:rsidRDefault="008510A9">
            <w:pPr>
              <w:rPr>
                <w:rFonts w:asciiTheme="minorHAnsi" w:hAnsiTheme="minorHAnsi"/>
                <w:sz w:val="24"/>
                <w:szCs w:val="24"/>
              </w:rPr>
            </w:pPr>
          </w:p>
          <w:p w:rsidR="008510A9" w:rsidRPr="00346A28" w:rsidRDefault="008510A9">
            <w:pPr>
              <w:rPr>
                <w:rFonts w:asciiTheme="minorHAnsi" w:hAnsiTheme="minorHAnsi"/>
                <w:sz w:val="24"/>
                <w:szCs w:val="24"/>
              </w:rPr>
            </w:pPr>
          </w:p>
          <w:p w:rsidR="008510A9" w:rsidRPr="00346A28" w:rsidRDefault="008510A9">
            <w:pPr>
              <w:rPr>
                <w:rFonts w:asciiTheme="minorHAnsi" w:hAnsiTheme="minorHAnsi"/>
                <w:sz w:val="24"/>
                <w:szCs w:val="24"/>
              </w:rPr>
            </w:pPr>
          </w:p>
          <w:p w:rsidR="008510A9" w:rsidRPr="00346A28" w:rsidRDefault="008510A9">
            <w:pPr>
              <w:rPr>
                <w:rFonts w:asciiTheme="minorHAnsi" w:hAnsiTheme="minorHAnsi"/>
                <w:sz w:val="24"/>
                <w:szCs w:val="24"/>
              </w:rPr>
            </w:pPr>
          </w:p>
          <w:p w:rsidR="008510A9" w:rsidRPr="00346A28" w:rsidRDefault="008510A9" w:rsidP="007E594E">
            <w:pPr>
              <w:rPr>
                <w:rFonts w:asciiTheme="minorHAnsi" w:hAnsiTheme="minorHAnsi"/>
                <w:sz w:val="24"/>
                <w:szCs w:val="24"/>
              </w:rPr>
            </w:pPr>
          </w:p>
        </w:tc>
        <w:tc>
          <w:tcPr>
            <w:tcW w:w="5220" w:type="dxa"/>
            <w:tcBorders>
              <w:top w:val="single" w:sz="4" w:space="0" w:color="auto"/>
              <w:left w:val="single" w:sz="4" w:space="0" w:color="auto"/>
              <w:bottom w:val="single" w:sz="12" w:space="0" w:color="auto"/>
              <w:right w:val="single" w:sz="4" w:space="0" w:color="auto"/>
            </w:tcBorders>
          </w:tcPr>
          <w:p w:rsidR="001430B5" w:rsidRPr="001430B5" w:rsidRDefault="002C218D" w:rsidP="001430B5">
            <w:pPr>
              <w:pStyle w:val="ListParagraph"/>
              <w:numPr>
                <w:ilvl w:val="0"/>
                <w:numId w:val="21"/>
              </w:numPr>
              <w:spacing w:line="240" w:lineRule="auto"/>
              <w:rPr>
                <w:sz w:val="24"/>
                <w:szCs w:val="24"/>
              </w:rPr>
            </w:pPr>
            <w:r w:rsidRPr="001430B5">
              <w:rPr>
                <w:sz w:val="24"/>
                <w:szCs w:val="24"/>
              </w:rPr>
              <w:t>Identify 2015-2016</w:t>
            </w:r>
            <w:r w:rsidR="00CC29BD" w:rsidRPr="001430B5">
              <w:rPr>
                <w:sz w:val="24"/>
                <w:szCs w:val="24"/>
              </w:rPr>
              <w:t xml:space="preserve"> meetings, </w:t>
            </w:r>
            <w:r w:rsidR="0070317D" w:rsidRPr="001430B5">
              <w:rPr>
                <w:sz w:val="24"/>
                <w:szCs w:val="24"/>
              </w:rPr>
              <w:t xml:space="preserve">participants, </w:t>
            </w:r>
            <w:r w:rsidR="008C21B3" w:rsidRPr="001430B5">
              <w:rPr>
                <w:sz w:val="24"/>
                <w:szCs w:val="24"/>
              </w:rPr>
              <w:t>p</w:t>
            </w:r>
            <w:r w:rsidR="00670960" w:rsidRPr="001430B5">
              <w:rPr>
                <w:sz w:val="24"/>
                <w:szCs w:val="24"/>
              </w:rPr>
              <w:t>artnerships</w:t>
            </w:r>
            <w:r w:rsidR="00F66BB3" w:rsidRPr="001430B5">
              <w:rPr>
                <w:sz w:val="24"/>
                <w:szCs w:val="24"/>
              </w:rPr>
              <w:t>,</w:t>
            </w:r>
            <w:r w:rsidR="00670960" w:rsidRPr="001430B5">
              <w:rPr>
                <w:sz w:val="24"/>
                <w:szCs w:val="24"/>
              </w:rPr>
              <w:t xml:space="preserve"> </w:t>
            </w:r>
            <w:r w:rsidR="00CC29BD" w:rsidRPr="001430B5">
              <w:rPr>
                <w:sz w:val="24"/>
                <w:szCs w:val="24"/>
              </w:rPr>
              <w:t>and topics of discussion</w:t>
            </w:r>
          </w:p>
          <w:p w:rsidR="001430B5" w:rsidRPr="001430B5" w:rsidRDefault="001430B5" w:rsidP="001430B5">
            <w:pPr>
              <w:pStyle w:val="ListParagraph"/>
              <w:spacing w:line="240" w:lineRule="auto"/>
              <w:rPr>
                <w:sz w:val="24"/>
                <w:szCs w:val="24"/>
              </w:rPr>
            </w:pPr>
          </w:p>
          <w:p w:rsidR="00F66BB3" w:rsidRDefault="008510A9" w:rsidP="001430B5">
            <w:pPr>
              <w:pStyle w:val="ListParagraph"/>
              <w:numPr>
                <w:ilvl w:val="0"/>
                <w:numId w:val="21"/>
              </w:numPr>
              <w:spacing w:line="240" w:lineRule="auto"/>
              <w:rPr>
                <w:sz w:val="24"/>
                <w:szCs w:val="24"/>
              </w:rPr>
            </w:pPr>
            <w:r w:rsidRPr="001430B5">
              <w:rPr>
                <w:sz w:val="24"/>
                <w:szCs w:val="24"/>
              </w:rPr>
              <w:t>Questions and Concerns</w:t>
            </w:r>
          </w:p>
          <w:p w:rsidR="001430B5" w:rsidRPr="001430B5" w:rsidRDefault="001430B5" w:rsidP="001430B5">
            <w:pPr>
              <w:pStyle w:val="ListParagraph"/>
              <w:rPr>
                <w:sz w:val="24"/>
                <w:szCs w:val="24"/>
              </w:rPr>
            </w:pPr>
          </w:p>
          <w:p w:rsidR="001430B5" w:rsidRPr="001430B5" w:rsidRDefault="001430B5" w:rsidP="001430B5">
            <w:pPr>
              <w:rPr>
                <w:i/>
                <w:sz w:val="22"/>
                <w:szCs w:val="22"/>
              </w:rPr>
            </w:pPr>
            <w:r w:rsidRPr="001430B5">
              <w:rPr>
                <w:i/>
                <w:sz w:val="22"/>
                <w:szCs w:val="22"/>
              </w:rPr>
              <w:t>“Students are seeing themselves for the first time as college students. They’re seeing they can do something that maybe no one has ever told them they can do. It changes everything.”</w:t>
            </w:r>
          </w:p>
          <w:p w:rsidR="001430B5" w:rsidRPr="001430B5" w:rsidRDefault="001430B5" w:rsidP="001430B5">
            <w:pPr>
              <w:rPr>
                <w:sz w:val="22"/>
                <w:szCs w:val="22"/>
              </w:rPr>
            </w:pPr>
            <w:r w:rsidRPr="001430B5">
              <w:rPr>
                <w:sz w:val="22"/>
                <w:szCs w:val="22"/>
              </w:rPr>
              <w:tab/>
              <w:t xml:space="preserve">Joni Swanson, quoted in “Getting a Jump on   </w:t>
            </w:r>
          </w:p>
          <w:p w:rsidR="001430B5" w:rsidRPr="00370742" w:rsidRDefault="001430B5" w:rsidP="001430B5">
            <w:pPr>
              <w:rPr>
                <w:i/>
                <w:sz w:val="22"/>
                <w:szCs w:val="22"/>
              </w:rPr>
            </w:pPr>
            <w:r w:rsidRPr="001430B5">
              <w:rPr>
                <w:sz w:val="22"/>
                <w:szCs w:val="22"/>
              </w:rPr>
              <w:t xml:space="preserve">             College” by Jon Marcus in </w:t>
            </w:r>
            <w:r w:rsidRPr="00370742">
              <w:rPr>
                <w:i/>
                <w:sz w:val="22"/>
                <w:szCs w:val="22"/>
              </w:rPr>
              <w:t xml:space="preserve">Harvard Education  </w:t>
            </w:r>
          </w:p>
          <w:p w:rsidR="001430B5" w:rsidRPr="001430B5" w:rsidRDefault="001430B5" w:rsidP="001430B5">
            <w:pPr>
              <w:rPr>
                <w:sz w:val="22"/>
                <w:szCs w:val="22"/>
              </w:rPr>
            </w:pPr>
            <w:r w:rsidRPr="00370742">
              <w:rPr>
                <w:i/>
                <w:sz w:val="22"/>
                <w:szCs w:val="22"/>
              </w:rPr>
              <w:t xml:space="preserve">             Letter</w:t>
            </w:r>
            <w:r w:rsidRPr="001430B5">
              <w:rPr>
                <w:sz w:val="22"/>
                <w:szCs w:val="22"/>
              </w:rPr>
              <w:t xml:space="preserve">, May/June 2015 (Vol. 31, #3, p. 4-6),  </w:t>
            </w:r>
          </w:p>
          <w:p w:rsidR="001430B5" w:rsidRPr="001430B5" w:rsidRDefault="001430B5" w:rsidP="001430B5">
            <w:pPr>
              <w:rPr>
                <w:sz w:val="22"/>
                <w:szCs w:val="22"/>
              </w:rPr>
            </w:pPr>
            <w:r w:rsidRPr="001430B5">
              <w:rPr>
                <w:sz w:val="22"/>
                <w:szCs w:val="22"/>
              </w:rPr>
              <w:t xml:space="preserve">             </w:t>
            </w:r>
            <w:hyperlink r:id="rId7" w:history="1">
              <w:r w:rsidRPr="001430B5">
                <w:rPr>
                  <w:rStyle w:val="Hyperlink"/>
                  <w:sz w:val="22"/>
                  <w:szCs w:val="22"/>
                </w:rPr>
                <w:t>www.edletter.org</w:t>
              </w:r>
            </w:hyperlink>
          </w:p>
          <w:p w:rsidR="001430B5" w:rsidRPr="001430B5" w:rsidRDefault="001430B5" w:rsidP="001430B5">
            <w:pPr>
              <w:rPr>
                <w:sz w:val="24"/>
                <w:szCs w:val="24"/>
              </w:rPr>
            </w:pPr>
          </w:p>
        </w:tc>
        <w:tc>
          <w:tcPr>
            <w:tcW w:w="2880" w:type="dxa"/>
            <w:tcBorders>
              <w:left w:val="single" w:sz="4" w:space="0" w:color="auto"/>
              <w:bottom w:val="single" w:sz="12" w:space="0" w:color="auto"/>
            </w:tcBorders>
          </w:tcPr>
          <w:p w:rsidR="00473DFF" w:rsidRPr="00346A28" w:rsidRDefault="00473DFF" w:rsidP="00473DFF">
            <w:pPr>
              <w:jc w:val="center"/>
              <w:rPr>
                <w:rFonts w:asciiTheme="minorHAnsi" w:hAnsiTheme="minorHAnsi"/>
                <w:sz w:val="24"/>
                <w:szCs w:val="24"/>
              </w:rPr>
            </w:pPr>
            <w:r w:rsidRPr="00346A28">
              <w:rPr>
                <w:rFonts w:asciiTheme="minorHAnsi" w:hAnsiTheme="minorHAnsi"/>
                <w:sz w:val="24"/>
                <w:szCs w:val="24"/>
              </w:rPr>
              <w:t>Kathy Wright-Chapman</w:t>
            </w:r>
          </w:p>
          <w:p w:rsidR="008510A9" w:rsidRPr="00346A28" w:rsidRDefault="008510A9" w:rsidP="00473DFF">
            <w:pPr>
              <w:jc w:val="center"/>
              <w:rPr>
                <w:rFonts w:asciiTheme="minorHAnsi" w:hAnsiTheme="minorHAnsi"/>
                <w:sz w:val="24"/>
                <w:szCs w:val="24"/>
              </w:rPr>
            </w:pPr>
          </w:p>
        </w:tc>
        <w:tc>
          <w:tcPr>
            <w:tcW w:w="4680" w:type="dxa"/>
            <w:tcBorders>
              <w:bottom w:val="single" w:sz="12" w:space="0" w:color="auto"/>
            </w:tcBorders>
          </w:tcPr>
          <w:p w:rsidR="00E71AB8" w:rsidRPr="00346A28" w:rsidRDefault="00E71AB8" w:rsidP="002C218D">
            <w:pPr>
              <w:ind w:left="720"/>
              <w:rPr>
                <w:rFonts w:asciiTheme="minorHAnsi" w:hAnsiTheme="minorHAnsi"/>
                <w:sz w:val="24"/>
                <w:szCs w:val="24"/>
              </w:rPr>
            </w:pPr>
          </w:p>
        </w:tc>
      </w:tr>
    </w:tbl>
    <w:p w:rsidR="00EC788C" w:rsidRPr="00346A28" w:rsidRDefault="00C717CD" w:rsidP="00C717CD">
      <w:pPr>
        <w:rPr>
          <w:rFonts w:asciiTheme="minorHAnsi" w:hAnsiTheme="minorHAnsi"/>
          <w:sz w:val="24"/>
          <w:szCs w:val="24"/>
        </w:rPr>
      </w:pPr>
      <w:r w:rsidRPr="00346A28">
        <w:rPr>
          <w:rFonts w:asciiTheme="minorHAnsi" w:hAnsiTheme="minorHAnsi"/>
          <w:sz w:val="24"/>
          <w:szCs w:val="24"/>
        </w:rPr>
        <w:t>* Handout</w:t>
      </w:r>
    </w:p>
    <w:p w:rsidR="006C1535" w:rsidRPr="00346A28" w:rsidRDefault="006C1535">
      <w:pPr>
        <w:rPr>
          <w:rFonts w:asciiTheme="minorHAnsi" w:hAnsiTheme="minorHAnsi"/>
          <w:sz w:val="24"/>
          <w:szCs w:val="24"/>
        </w:rPr>
      </w:pPr>
    </w:p>
    <w:p w:rsidR="009217AB" w:rsidRDefault="009217AB">
      <w:pPr>
        <w:rPr>
          <w:rFonts w:asciiTheme="minorHAnsi" w:hAnsiTheme="minorHAnsi"/>
          <w:b/>
          <w:i/>
          <w:sz w:val="24"/>
          <w:szCs w:val="24"/>
        </w:rPr>
      </w:pPr>
    </w:p>
    <w:p w:rsidR="009217AB" w:rsidRDefault="009217AB">
      <w:pPr>
        <w:rPr>
          <w:rFonts w:asciiTheme="minorHAnsi" w:hAnsiTheme="minorHAnsi"/>
          <w:b/>
          <w:i/>
          <w:sz w:val="24"/>
          <w:szCs w:val="24"/>
        </w:rPr>
      </w:pPr>
    </w:p>
    <w:p w:rsidR="009217AB" w:rsidRDefault="009217AB">
      <w:pPr>
        <w:rPr>
          <w:rFonts w:asciiTheme="minorHAnsi" w:hAnsiTheme="minorHAnsi"/>
          <w:b/>
          <w:i/>
          <w:sz w:val="24"/>
          <w:szCs w:val="24"/>
        </w:rPr>
      </w:pPr>
    </w:p>
    <w:p w:rsidR="00772B4E" w:rsidRPr="00346A28" w:rsidRDefault="00C47732">
      <w:pPr>
        <w:rPr>
          <w:rFonts w:asciiTheme="minorHAnsi" w:hAnsiTheme="minorHAnsi"/>
          <w:b/>
          <w:i/>
          <w:sz w:val="24"/>
          <w:szCs w:val="24"/>
        </w:rPr>
      </w:pPr>
      <w:r>
        <w:rPr>
          <w:rFonts w:asciiTheme="minorHAnsi" w:hAnsiTheme="minorHAnsi"/>
          <w:b/>
          <w:i/>
          <w:sz w:val="24"/>
          <w:szCs w:val="24"/>
        </w:rPr>
        <w:lastRenderedPageBreak/>
        <w:t xml:space="preserve">ESC Region 11 </w:t>
      </w:r>
      <w:r w:rsidR="00327A1C" w:rsidRPr="00346A28">
        <w:rPr>
          <w:rFonts w:asciiTheme="minorHAnsi" w:hAnsiTheme="minorHAnsi"/>
          <w:b/>
          <w:i/>
          <w:sz w:val="24"/>
          <w:szCs w:val="24"/>
        </w:rPr>
        <w:t>Contact Information:</w:t>
      </w:r>
    </w:p>
    <w:p w:rsidR="006B410B" w:rsidRPr="00346A28" w:rsidRDefault="006B410B">
      <w:pPr>
        <w:rPr>
          <w:rFonts w:asciiTheme="minorHAnsi" w:hAnsiTheme="minorHAnsi"/>
          <w:b/>
          <w:i/>
          <w:sz w:val="24"/>
          <w:szCs w:val="24"/>
        </w:rPr>
      </w:pPr>
    </w:p>
    <w:tbl>
      <w:tblPr>
        <w:tblStyle w:val="TableGrid"/>
        <w:tblW w:w="10530" w:type="dxa"/>
        <w:jc w:val="center"/>
        <w:tblLayout w:type="fixed"/>
        <w:tblLook w:val="04A0" w:firstRow="1" w:lastRow="0" w:firstColumn="1" w:lastColumn="0" w:noHBand="0" w:noVBand="1"/>
      </w:tblPr>
      <w:tblGrid>
        <w:gridCol w:w="3006"/>
        <w:gridCol w:w="3294"/>
        <w:gridCol w:w="2430"/>
        <w:gridCol w:w="1800"/>
      </w:tblGrid>
      <w:tr w:rsidR="00327A1C" w:rsidRPr="00346A28" w:rsidTr="006B410B">
        <w:trPr>
          <w:trHeight w:val="759"/>
          <w:jc w:val="center"/>
        </w:trPr>
        <w:tc>
          <w:tcPr>
            <w:tcW w:w="3006" w:type="dxa"/>
            <w:vAlign w:val="center"/>
          </w:tcPr>
          <w:p w:rsidR="00327A1C" w:rsidRPr="00346A28" w:rsidRDefault="00327A1C">
            <w:pPr>
              <w:rPr>
                <w:rFonts w:asciiTheme="minorHAnsi" w:hAnsiTheme="minorHAnsi"/>
                <w:sz w:val="24"/>
                <w:szCs w:val="24"/>
              </w:rPr>
            </w:pPr>
            <w:r w:rsidRPr="00346A28">
              <w:rPr>
                <w:rFonts w:asciiTheme="minorHAnsi" w:hAnsiTheme="minorHAnsi"/>
                <w:sz w:val="24"/>
                <w:szCs w:val="24"/>
              </w:rPr>
              <w:t>Kathy Wright-Chapman</w:t>
            </w:r>
          </w:p>
        </w:tc>
        <w:tc>
          <w:tcPr>
            <w:tcW w:w="3294" w:type="dxa"/>
            <w:vAlign w:val="center"/>
          </w:tcPr>
          <w:p w:rsidR="006B410B" w:rsidRPr="00346A28" w:rsidRDefault="006B410B">
            <w:pPr>
              <w:rPr>
                <w:rFonts w:asciiTheme="minorHAnsi" w:hAnsiTheme="minorHAnsi"/>
                <w:sz w:val="24"/>
                <w:szCs w:val="24"/>
              </w:rPr>
            </w:pPr>
            <w:r w:rsidRPr="00346A28">
              <w:rPr>
                <w:rFonts w:asciiTheme="minorHAnsi" w:hAnsiTheme="minorHAnsi"/>
                <w:sz w:val="24"/>
                <w:szCs w:val="24"/>
              </w:rPr>
              <w:t xml:space="preserve">ESC Region 11 </w:t>
            </w:r>
          </w:p>
          <w:p w:rsidR="00327A1C" w:rsidRPr="00346A28" w:rsidRDefault="009217AB" w:rsidP="009217AB">
            <w:pPr>
              <w:rPr>
                <w:rFonts w:asciiTheme="minorHAnsi" w:hAnsiTheme="minorHAnsi"/>
                <w:sz w:val="24"/>
                <w:szCs w:val="24"/>
              </w:rPr>
            </w:pPr>
            <w:r>
              <w:rPr>
                <w:rFonts w:asciiTheme="minorHAnsi" w:hAnsiTheme="minorHAnsi"/>
                <w:sz w:val="24"/>
                <w:szCs w:val="24"/>
              </w:rPr>
              <w:t xml:space="preserve">Director of Research </w:t>
            </w:r>
            <w:r w:rsidR="00327A1C" w:rsidRPr="00346A28">
              <w:rPr>
                <w:rFonts w:asciiTheme="minorHAnsi" w:hAnsiTheme="minorHAnsi"/>
                <w:sz w:val="24"/>
                <w:szCs w:val="24"/>
              </w:rPr>
              <w:t>and Evaluation</w:t>
            </w:r>
          </w:p>
        </w:tc>
        <w:tc>
          <w:tcPr>
            <w:tcW w:w="2430" w:type="dxa"/>
            <w:vAlign w:val="center"/>
          </w:tcPr>
          <w:p w:rsidR="00327A1C" w:rsidRPr="00346A28" w:rsidRDefault="00412313">
            <w:pPr>
              <w:rPr>
                <w:rFonts w:asciiTheme="minorHAnsi" w:hAnsiTheme="minorHAnsi"/>
                <w:sz w:val="24"/>
                <w:szCs w:val="24"/>
              </w:rPr>
            </w:pPr>
            <w:hyperlink r:id="rId8" w:history="1">
              <w:r w:rsidR="00327A1C" w:rsidRPr="00346A28">
                <w:rPr>
                  <w:rStyle w:val="Hyperlink"/>
                  <w:rFonts w:asciiTheme="minorHAnsi" w:hAnsiTheme="minorHAnsi"/>
                  <w:sz w:val="24"/>
                  <w:szCs w:val="24"/>
                </w:rPr>
                <w:t>kwc@esc11.net</w:t>
              </w:r>
            </w:hyperlink>
          </w:p>
        </w:tc>
        <w:tc>
          <w:tcPr>
            <w:tcW w:w="1800" w:type="dxa"/>
            <w:vAlign w:val="center"/>
          </w:tcPr>
          <w:p w:rsidR="00327A1C" w:rsidRPr="00346A28" w:rsidRDefault="00327A1C">
            <w:pPr>
              <w:rPr>
                <w:rFonts w:asciiTheme="minorHAnsi" w:hAnsiTheme="minorHAnsi"/>
                <w:sz w:val="24"/>
                <w:szCs w:val="24"/>
              </w:rPr>
            </w:pPr>
            <w:r w:rsidRPr="00346A28">
              <w:rPr>
                <w:rFonts w:asciiTheme="minorHAnsi" w:hAnsiTheme="minorHAnsi"/>
                <w:sz w:val="24"/>
                <w:szCs w:val="24"/>
              </w:rPr>
              <w:t>(817) 740-7546</w:t>
            </w:r>
          </w:p>
        </w:tc>
      </w:tr>
      <w:tr w:rsidR="00327A1C" w:rsidRPr="00346A28" w:rsidTr="006B410B">
        <w:trPr>
          <w:trHeight w:val="759"/>
          <w:jc w:val="center"/>
        </w:trPr>
        <w:tc>
          <w:tcPr>
            <w:tcW w:w="3006" w:type="dxa"/>
            <w:vAlign w:val="center"/>
          </w:tcPr>
          <w:p w:rsidR="00327A1C" w:rsidRPr="00346A28" w:rsidRDefault="00327A1C">
            <w:pPr>
              <w:rPr>
                <w:rFonts w:asciiTheme="minorHAnsi" w:hAnsiTheme="minorHAnsi"/>
                <w:sz w:val="24"/>
                <w:szCs w:val="24"/>
              </w:rPr>
            </w:pPr>
            <w:r w:rsidRPr="00346A28">
              <w:rPr>
                <w:rFonts w:asciiTheme="minorHAnsi" w:hAnsiTheme="minorHAnsi"/>
                <w:sz w:val="24"/>
                <w:szCs w:val="24"/>
              </w:rPr>
              <w:t>Susan Patterson</w:t>
            </w:r>
          </w:p>
        </w:tc>
        <w:tc>
          <w:tcPr>
            <w:tcW w:w="3294" w:type="dxa"/>
            <w:vAlign w:val="center"/>
          </w:tcPr>
          <w:p w:rsidR="006B410B" w:rsidRPr="00346A28" w:rsidRDefault="006B410B">
            <w:pPr>
              <w:rPr>
                <w:rFonts w:asciiTheme="minorHAnsi" w:hAnsiTheme="minorHAnsi"/>
                <w:sz w:val="24"/>
                <w:szCs w:val="24"/>
              </w:rPr>
            </w:pPr>
            <w:r w:rsidRPr="00346A28">
              <w:rPr>
                <w:rFonts w:asciiTheme="minorHAnsi" w:hAnsiTheme="minorHAnsi"/>
                <w:sz w:val="24"/>
                <w:szCs w:val="24"/>
              </w:rPr>
              <w:t xml:space="preserve">ESC Region 11 </w:t>
            </w:r>
          </w:p>
          <w:p w:rsidR="00327A1C" w:rsidRPr="00346A28" w:rsidRDefault="006B410B">
            <w:pPr>
              <w:rPr>
                <w:rFonts w:asciiTheme="minorHAnsi" w:hAnsiTheme="minorHAnsi"/>
                <w:sz w:val="24"/>
                <w:szCs w:val="24"/>
              </w:rPr>
            </w:pPr>
            <w:r w:rsidRPr="00346A28">
              <w:rPr>
                <w:rFonts w:asciiTheme="minorHAnsi" w:hAnsiTheme="minorHAnsi"/>
                <w:sz w:val="24"/>
                <w:szCs w:val="24"/>
              </w:rPr>
              <w:t>C</w:t>
            </w:r>
            <w:r w:rsidR="005E5B27">
              <w:rPr>
                <w:rFonts w:asciiTheme="minorHAnsi" w:hAnsiTheme="minorHAnsi"/>
                <w:sz w:val="24"/>
                <w:szCs w:val="24"/>
              </w:rPr>
              <w:t xml:space="preserve">areer and </w:t>
            </w:r>
            <w:r w:rsidRPr="00346A28">
              <w:rPr>
                <w:rFonts w:asciiTheme="minorHAnsi" w:hAnsiTheme="minorHAnsi"/>
                <w:sz w:val="24"/>
                <w:szCs w:val="24"/>
              </w:rPr>
              <w:t>T</w:t>
            </w:r>
            <w:r w:rsidR="005E5B27">
              <w:rPr>
                <w:rFonts w:asciiTheme="minorHAnsi" w:hAnsiTheme="minorHAnsi"/>
                <w:sz w:val="24"/>
                <w:szCs w:val="24"/>
              </w:rPr>
              <w:t xml:space="preserve">echnical </w:t>
            </w:r>
            <w:r w:rsidRPr="00346A28">
              <w:rPr>
                <w:rFonts w:asciiTheme="minorHAnsi" w:hAnsiTheme="minorHAnsi"/>
                <w:sz w:val="24"/>
                <w:szCs w:val="24"/>
              </w:rPr>
              <w:t>E</w:t>
            </w:r>
            <w:r w:rsidR="005E5B27">
              <w:rPr>
                <w:rFonts w:asciiTheme="minorHAnsi" w:hAnsiTheme="minorHAnsi"/>
                <w:sz w:val="24"/>
                <w:szCs w:val="24"/>
              </w:rPr>
              <w:t>ducation</w:t>
            </w:r>
            <w:r w:rsidRPr="00346A28">
              <w:rPr>
                <w:rFonts w:asciiTheme="minorHAnsi" w:hAnsiTheme="minorHAnsi"/>
                <w:sz w:val="24"/>
                <w:szCs w:val="24"/>
              </w:rPr>
              <w:t xml:space="preserve"> Consultant</w:t>
            </w:r>
          </w:p>
        </w:tc>
        <w:tc>
          <w:tcPr>
            <w:tcW w:w="2430" w:type="dxa"/>
            <w:vAlign w:val="center"/>
          </w:tcPr>
          <w:p w:rsidR="00327A1C" w:rsidRPr="00346A28" w:rsidRDefault="00412313">
            <w:pPr>
              <w:rPr>
                <w:rFonts w:asciiTheme="minorHAnsi" w:hAnsiTheme="minorHAnsi"/>
                <w:sz w:val="24"/>
                <w:szCs w:val="24"/>
              </w:rPr>
            </w:pPr>
            <w:hyperlink r:id="rId9" w:history="1">
              <w:r w:rsidR="006B410B" w:rsidRPr="00346A28">
                <w:rPr>
                  <w:rStyle w:val="Hyperlink"/>
                  <w:rFonts w:asciiTheme="minorHAnsi" w:hAnsiTheme="minorHAnsi"/>
                  <w:sz w:val="24"/>
                  <w:szCs w:val="24"/>
                </w:rPr>
                <w:t>spatterson@esc11.net</w:t>
              </w:r>
            </w:hyperlink>
          </w:p>
        </w:tc>
        <w:tc>
          <w:tcPr>
            <w:tcW w:w="1800" w:type="dxa"/>
            <w:vAlign w:val="center"/>
          </w:tcPr>
          <w:p w:rsidR="00327A1C" w:rsidRPr="00346A28" w:rsidRDefault="006B410B">
            <w:pPr>
              <w:rPr>
                <w:rFonts w:asciiTheme="minorHAnsi" w:hAnsiTheme="minorHAnsi"/>
                <w:sz w:val="24"/>
                <w:szCs w:val="24"/>
              </w:rPr>
            </w:pPr>
            <w:r w:rsidRPr="00346A28">
              <w:rPr>
                <w:rFonts w:asciiTheme="minorHAnsi" w:hAnsiTheme="minorHAnsi"/>
                <w:sz w:val="24"/>
                <w:szCs w:val="24"/>
              </w:rPr>
              <w:t>(817) 740-7754</w:t>
            </w:r>
          </w:p>
        </w:tc>
      </w:tr>
    </w:tbl>
    <w:p w:rsidR="00F36D5B" w:rsidRDefault="00F36D5B"/>
    <w:p w:rsidR="006B410B" w:rsidRDefault="006B410B"/>
    <w:p w:rsidR="00F36D5B" w:rsidRDefault="00F36D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4872"/>
        <w:gridCol w:w="4872"/>
      </w:tblGrid>
      <w:tr w:rsidR="00EE5029" w:rsidTr="00FF27AA">
        <w:trPr>
          <w:jc w:val="center"/>
        </w:trPr>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r w:rsidRPr="00FF27AA">
              <w:rPr>
                <w:b/>
                <w:sz w:val="24"/>
                <w:szCs w:val="24"/>
              </w:rPr>
              <w:t>Action Items</w:t>
            </w: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r w:rsidRPr="00FF27AA">
              <w:rPr>
                <w:b/>
                <w:sz w:val="24"/>
                <w:szCs w:val="24"/>
              </w:rPr>
              <w:t>Person Responsible</w:t>
            </w: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r w:rsidRPr="00FF27AA">
              <w:rPr>
                <w:b/>
                <w:sz w:val="24"/>
                <w:szCs w:val="24"/>
              </w:rPr>
              <w:t>Due Date</w:t>
            </w:r>
          </w:p>
        </w:tc>
      </w:tr>
      <w:tr w:rsidR="00EE5029" w:rsidRPr="00327A1C" w:rsidTr="0060461F">
        <w:trPr>
          <w:trHeight w:val="1296"/>
          <w:jc w:val="center"/>
        </w:trPr>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327A1C" w:rsidRDefault="00EE5029" w:rsidP="00327A1C">
            <w:pPr>
              <w:jc w:val="center"/>
              <w:rPr>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327A1C" w:rsidRDefault="00EE5029" w:rsidP="00327A1C">
            <w:pPr>
              <w:rPr>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327A1C" w:rsidRDefault="00EE5029" w:rsidP="00884D9D">
            <w:pPr>
              <w:rPr>
                <w:sz w:val="24"/>
                <w:szCs w:val="24"/>
              </w:rPr>
            </w:pPr>
          </w:p>
        </w:tc>
      </w:tr>
      <w:tr w:rsidR="00EE5029" w:rsidTr="0060461F">
        <w:trPr>
          <w:trHeight w:val="1296"/>
          <w:jc w:val="center"/>
        </w:trPr>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r>
      <w:tr w:rsidR="00EE5029" w:rsidTr="0060461F">
        <w:trPr>
          <w:trHeight w:val="1296"/>
          <w:jc w:val="center"/>
        </w:trPr>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r>
      <w:tr w:rsidR="00EE5029" w:rsidTr="0060461F">
        <w:trPr>
          <w:trHeight w:val="1296"/>
          <w:jc w:val="center"/>
        </w:trPr>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r>
      <w:tr w:rsidR="00EE5029" w:rsidTr="0060461F">
        <w:trPr>
          <w:trHeight w:val="1296"/>
          <w:jc w:val="center"/>
        </w:trPr>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c>
          <w:tcPr>
            <w:tcW w:w="4872" w:type="dxa"/>
            <w:tcBorders>
              <w:top w:val="single" w:sz="4" w:space="0" w:color="auto"/>
              <w:left w:val="single" w:sz="4" w:space="0" w:color="auto"/>
              <w:bottom w:val="single" w:sz="4" w:space="0" w:color="auto"/>
              <w:right w:val="single" w:sz="4" w:space="0" w:color="auto"/>
            </w:tcBorders>
            <w:shd w:val="clear" w:color="auto" w:fill="auto"/>
          </w:tcPr>
          <w:p w:rsidR="00EE5029" w:rsidRPr="00FF27AA" w:rsidRDefault="00EE5029" w:rsidP="00FF27AA">
            <w:pPr>
              <w:jc w:val="center"/>
              <w:rPr>
                <w:b/>
                <w:sz w:val="24"/>
                <w:szCs w:val="24"/>
              </w:rPr>
            </w:pPr>
          </w:p>
        </w:tc>
      </w:tr>
    </w:tbl>
    <w:p w:rsidR="00772B4E" w:rsidRDefault="00772B4E"/>
    <w:sectPr w:rsidR="00772B4E" w:rsidSect="00A853A5">
      <w:footerReference w:type="default" r:id="rId10"/>
      <w:pgSz w:w="15840" w:h="12240" w:orient="landscape"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313" w:rsidRDefault="00412313">
      <w:r>
        <w:separator/>
      </w:r>
    </w:p>
  </w:endnote>
  <w:endnote w:type="continuationSeparator" w:id="0">
    <w:p w:rsidR="00412313" w:rsidRDefault="0041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AC9" w:rsidRDefault="00DE2AC9" w:rsidP="00A94A61">
    <w:pPr>
      <w:pStyle w:val="Footer"/>
      <w:tabs>
        <w:tab w:val="clear" w:pos="4320"/>
        <w:tab w:val="center" w:pos="6480"/>
      </w:tabs>
    </w:pPr>
    <w:r>
      <w:rPr>
        <w:sz w:val="16"/>
      </w:rPr>
      <w:tab/>
    </w:r>
    <w:r>
      <w:rPr>
        <w:rStyle w:val="PageNumber"/>
      </w:rPr>
      <w:fldChar w:fldCharType="begin"/>
    </w:r>
    <w:r>
      <w:rPr>
        <w:rStyle w:val="PageNumber"/>
      </w:rPr>
      <w:instrText xml:space="preserve"> PAGE </w:instrText>
    </w:r>
    <w:r>
      <w:rPr>
        <w:rStyle w:val="PageNumber"/>
      </w:rPr>
      <w:fldChar w:fldCharType="separate"/>
    </w:r>
    <w:r w:rsidR="00826109">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313" w:rsidRDefault="00412313">
      <w:r>
        <w:separator/>
      </w:r>
    </w:p>
  </w:footnote>
  <w:footnote w:type="continuationSeparator" w:id="0">
    <w:p w:rsidR="00412313" w:rsidRDefault="00412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46C9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7B35BC"/>
    <w:multiLevelType w:val="hybridMultilevel"/>
    <w:tmpl w:val="335A7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87A96"/>
    <w:multiLevelType w:val="hybridMultilevel"/>
    <w:tmpl w:val="2F2638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97FBA"/>
    <w:multiLevelType w:val="hybridMultilevel"/>
    <w:tmpl w:val="CF20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34401"/>
    <w:multiLevelType w:val="hybridMultilevel"/>
    <w:tmpl w:val="115E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110E6"/>
    <w:multiLevelType w:val="hybridMultilevel"/>
    <w:tmpl w:val="E4A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72298"/>
    <w:multiLevelType w:val="hybridMultilevel"/>
    <w:tmpl w:val="CDA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C562D"/>
    <w:multiLevelType w:val="hybridMultilevel"/>
    <w:tmpl w:val="7004CF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971C5D"/>
    <w:multiLevelType w:val="hybridMultilevel"/>
    <w:tmpl w:val="F8822E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D8B0FA7"/>
    <w:multiLevelType w:val="hybridMultilevel"/>
    <w:tmpl w:val="491C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65FA1"/>
    <w:multiLevelType w:val="hybridMultilevel"/>
    <w:tmpl w:val="8232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A1C1C"/>
    <w:multiLevelType w:val="hybridMultilevel"/>
    <w:tmpl w:val="060E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8464E"/>
    <w:multiLevelType w:val="hybridMultilevel"/>
    <w:tmpl w:val="C4766124"/>
    <w:lvl w:ilvl="0" w:tplc="1B7817E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67C415CF"/>
    <w:multiLevelType w:val="hybridMultilevel"/>
    <w:tmpl w:val="115EA204"/>
    <w:lvl w:ilvl="0" w:tplc="BD3E8F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B95A3C"/>
    <w:multiLevelType w:val="hybridMultilevel"/>
    <w:tmpl w:val="D1461DA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F36E0"/>
    <w:multiLevelType w:val="hybridMultilevel"/>
    <w:tmpl w:val="F596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93705"/>
    <w:multiLevelType w:val="hybridMultilevel"/>
    <w:tmpl w:val="0E78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F2F13"/>
    <w:multiLevelType w:val="hybridMultilevel"/>
    <w:tmpl w:val="6C2C60C8"/>
    <w:lvl w:ilvl="0" w:tplc="BD3E8F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5431CC"/>
    <w:multiLevelType w:val="hybridMultilevel"/>
    <w:tmpl w:val="21E4A588"/>
    <w:lvl w:ilvl="0" w:tplc="BD3E8F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8"/>
        <w:lvlJc w:val="left"/>
        <w:pPr>
          <w:ind w:left="288" w:hanging="288"/>
        </w:pPr>
        <w:rPr>
          <w:rFonts w:ascii="Symbol" w:hAnsi="Symbol" w:hint="default"/>
        </w:rPr>
      </w:lvl>
    </w:lvlOverride>
  </w:num>
  <w:num w:numId="2">
    <w:abstractNumId w:val="13"/>
  </w:num>
  <w:num w:numId="3">
    <w:abstractNumId w:val="14"/>
  </w:num>
  <w:num w:numId="4">
    <w:abstractNumId w:val="18"/>
  </w:num>
  <w:num w:numId="5">
    <w:abstractNumId w:val="19"/>
  </w:num>
  <w:num w:numId="6">
    <w:abstractNumId w:val="9"/>
  </w:num>
  <w:num w:numId="7">
    <w:abstractNumId w:val="9"/>
  </w:num>
  <w:num w:numId="8">
    <w:abstractNumId w:val="11"/>
  </w:num>
  <w:num w:numId="9">
    <w:abstractNumId w:val="5"/>
  </w:num>
  <w:num w:numId="10">
    <w:abstractNumId w:val="12"/>
  </w:num>
  <w:num w:numId="11">
    <w:abstractNumId w:val="2"/>
  </w:num>
  <w:num w:numId="12">
    <w:abstractNumId w:val="10"/>
  </w:num>
  <w:num w:numId="13">
    <w:abstractNumId w:val="4"/>
  </w:num>
  <w:num w:numId="14">
    <w:abstractNumId w:val="16"/>
  </w:num>
  <w:num w:numId="15">
    <w:abstractNumId w:val="0"/>
  </w:num>
  <w:num w:numId="16">
    <w:abstractNumId w:val="3"/>
  </w:num>
  <w:num w:numId="17">
    <w:abstractNumId w:val="15"/>
  </w:num>
  <w:num w:numId="18">
    <w:abstractNumId w:val="8"/>
  </w:num>
  <w:num w:numId="19">
    <w:abstractNumId w:val="7"/>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52"/>
    <w:rsid w:val="0001073A"/>
    <w:rsid w:val="000207FB"/>
    <w:rsid w:val="00066720"/>
    <w:rsid w:val="00071425"/>
    <w:rsid w:val="000A2B05"/>
    <w:rsid w:val="000A56E2"/>
    <w:rsid w:val="000F7BBA"/>
    <w:rsid w:val="0010539F"/>
    <w:rsid w:val="00106115"/>
    <w:rsid w:val="00110E8E"/>
    <w:rsid w:val="0012587B"/>
    <w:rsid w:val="00126CAF"/>
    <w:rsid w:val="001275C3"/>
    <w:rsid w:val="00127E46"/>
    <w:rsid w:val="00130280"/>
    <w:rsid w:val="001430B5"/>
    <w:rsid w:val="00153092"/>
    <w:rsid w:val="001649A9"/>
    <w:rsid w:val="001904A2"/>
    <w:rsid w:val="001968E5"/>
    <w:rsid w:val="001A125D"/>
    <w:rsid w:val="001A2AE1"/>
    <w:rsid w:val="001B3C41"/>
    <w:rsid w:val="001B4416"/>
    <w:rsid w:val="001C66AD"/>
    <w:rsid w:val="001D2148"/>
    <w:rsid w:val="001D7D18"/>
    <w:rsid w:val="001E51F3"/>
    <w:rsid w:val="002174BA"/>
    <w:rsid w:val="0022214F"/>
    <w:rsid w:val="00231BE0"/>
    <w:rsid w:val="00264643"/>
    <w:rsid w:val="00280785"/>
    <w:rsid w:val="00285CBE"/>
    <w:rsid w:val="00295ADB"/>
    <w:rsid w:val="002A0CCD"/>
    <w:rsid w:val="002B0541"/>
    <w:rsid w:val="002B6C67"/>
    <w:rsid w:val="002C218D"/>
    <w:rsid w:val="002D348A"/>
    <w:rsid w:val="003207CB"/>
    <w:rsid w:val="00327A1C"/>
    <w:rsid w:val="00346A28"/>
    <w:rsid w:val="00370742"/>
    <w:rsid w:val="00371A0D"/>
    <w:rsid w:val="00373216"/>
    <w:rsid w:val="00382C3A"/>
    <w:rsid w:val="003A0D24"/>
    <w:rsid w:val="003F7AD9"/>
    <w:rsid w:val="00401BC1"/>
    <w:rsid w:val="0040558A"/>
    <w:rsid w:val="00412313"/>
    <w:rsid w:val="00420A1E"/>
    <w:rsid w:val="00430191"/>
    <w:rsid w:val="00437CDB"/>
    <w:rsid w:val="00451BEB"/>
    <w:rsid w:val="004620FC"/>
    <w:rsid w:val="00473DFF"/>
    <w:rsid w:val="004974A7"/>
    <w:rsid w:val="004A4E7B"/>
    <w:rsid w:val="004A7ED9"/>
    <w:rsid w:val="004A7FB8"/>
    <w:rsid w:val="004B1031"/>
    <w:rsid w:val="004B4DBB"/>
    <w:rsid w:val="004C4D66"/>
    <w:rsid w:val="004C5913"/>
    <w:rsid w:val="004C6F63"/>
    <w:rsid w:val="004D33DA"/>
    <w:rsid w:val="005009F9"/>
    <w:rsid w:val="00506335"/>
    <w:rsid w:val="005150ED"/>
    <w:rsid w:val="0052358D"/>
    <w:rsid w:val="005355A1"/>
    <w:rsid w:val="005425BC"/>
    <w:rsid w:val="00557807"/>
    <w:rsid w:val="00567B18"/>
    <w:rsid w:val="00577404"/>
    <w:rsid w:val="005A0FFD"/>
    <w:rsid w:val="005A5FBE"/>
    <w:rsid w:val="005B28BD"/>
    <w:rsid w:val="005C13EF"/>
    <w:rsid w:val="005C7A0B"/>
    <w:rsid w:val="005D79E3"/>
    <w:rsid w:val="005E5B27"/>
    <w:rsid w:val="005F4E93"/>
    <w:rsid w:val="00603DC5"/>
    <w:rsid w:val="0060461F"/>
    <w:rsid w:val="00606ECC"/>
    <w:rsid w:val="00623EB5"/>
    <w:rsid w:val="00644D4C"/>
    <w:rsid w:val="00647B3E"/>
    <w:rsid w:val="0065457D"/>
    <w:rsid w:val="0066773D"/>
    <w:rsid w:val="00670960"/>
    <w:rsid w:val="00683A34"/>
    <w:rsid w:val="006864A2"/>
    <w:rsid w:val="006B071B"/>
    <w:rsid w:val="006B410B"/>
    <w:rsid w:val="006C1535"/>
    <w:rsid w:val="006C7A67"/>
    <w:rsid w:val="006E50E8"/>
    <w:rsid w:val="006E713B"/>
    <w:rsid w:val="00701E6C"/>
    <w:rsid w:val="0070317D"/>
    <w:rsid w:val="0070371D"/>
    <w:rsid w:val="0071046A"/>
    <w:rsid w:val="00727499"/>
    <w:rsid w:val="0073144A"/>
    <w:rsid w:val="007323FD"/>
    <w:rsid w:val="00736F66"/>
    <w:rsid w:val="00757BF2"/>
    <w:rsid w:val="00772B4E"/>
    <w:rsid w:val="0078608E"/>
    <w:rsid w:val="00791119"/>
    <w:rsid w:val="0079519E"/>
    <w:rsid w:val="007B216E"/>
    <w:rsid w:val="007B500A"/>
    <w:rsid w:val="007C23E3"/>
    <w:rsid w:val="007D2AA6"/>
    <w:rsid w:val="007D548D"/>
    <w:rsid w:val="007E594E"/>
    <w:rsid w:val="00812941"/>
    <w:rsid w:val="00814245"/>
    <w:rsid w:val="00826109"/>
    <w:rsid w:val="00826AC6"/>
    <w:rsid w:val="00827858"/>
    <w:rsid w:val="00831EDA"/>
    <w:rsid w:val="00832642"/>
    <w:rsid w:val="008510A9"/>
    <w:rsid w:val="008538A9"/>
    <w:rsid w:val="00862C9E"/>
    <w:rsid w:val="008807FC"/>
    <w:rsid w:val="00884D9D"/>
    <w:rsid w:val="008853B6"/>
    <w:rsid w:val="00896D61"/>
    <w:rsid w:val="008A1D4A"/>
    <w:rsid w:val="008C21B3"/>
    <w:rsid w:val="008C3E1E"/>
    <w:rsid w:val="008D2D57"/>
    <w:rsid w:val="008E0A1D"/>
    <w:rsid w:val="008E656B"/>
    <w:rsid w:val="00915E4B"/>
    <w:rsid w:val="009217AB"/>
    <w:rsid w:val="00932943"/>
    <w:rsid w:val="0093332C"/>
    <w:rsid w:val="00973F94"/>
    <w:rsid w:val="00983C30"/>
    <w:rsid w:val="009847F6"/>
    <w:rsid w:val="009A2874"/>
    <w:rsid w:val="009A4E2B"/>
    <w:rsid w:val="009B3BFD"/>
    <w:rsid w:val="009B5D1D"/>
    <w:rsid w:val="009B5F84"/>
    <w:rsid w:val="009B62D7"/>
    <w:rsid w:val="009C1A09"/>
    <w:rsid w:val="00A00C65"/>
    <w:rsid w:val="00A01A26"/>
    <w:rsid w:val="00A11B4F"/>
    <w:rsid w:val="00A16310"/>
    <w:rsid w:val="00A24755"/>
    <w:rsid w:val="00A5244C"/>
    <w:rsid w:val="00A56792"/>
    <w:rsid w:val="00A61DA5"/>
    <w:rsid w:val="00A7391F"/>
    <w:rsid w:val="00A73F50"/>
    <w:rsid w:val="00A77F22"/>
    <w:rsid w:val="00A83259"/>
    <w:rsid w:val="00A853A5"/>
    <w:rsid w:val="00A94A61"/>
    <w:rsid w:val="00AA51FA"/>
    <w:rsid w:val="00AB060E"/>
    <w:rsid w:val="00AF7969"/>
    <w:rsid w:val="00B24FDC"/>
    <w:rsid w:val="00B52B8D"/>
    <w:rsid w:val="00B71AAA"/>
    <w:rsid w:val="00B71E7C"/>
    <w:rsid w:val="00B91889"/>
    <w:rsid w:val="00BA4352"/>
    <w:rsid w:val="00BB1799"/>
    <w:rsid w:val="00BB458A"/>
    <w:rsid w:val="00BB50BF"/>
    <w:rsid w:val="00BB609E"/>
    <w:rsid w:val="00BD0EF3"/>
    <w:rsid w:val="00BD1F45"/>
    <w:rsid w:val="00BF1082"/>
    <w:rsid w:val="00BF1D46"/>
    <w:rsid w:val="00C14EE9"/>
    <w:rsid w:val="00C1677B"/>
    <w:rsid w:val="00C457BB"/>
    <w:rsid w:val="00C47732"/>
    <w:rsid w:val="00C51800"/>
    <w:rsid w:val="00C52DF9"/>
    <w:rsid w:val="00C642C3"/>
    <w:rsid w:val="00C717CD"/>
    <w:rsid w:val="00C75F33"/>
    <w:rsid w:val="00C818D9"/>
    <w:rsid w:val="00C91AEB"/>
    <w:rsid w:val="00C92BEC"/>
    <w:rsid w:val="00CC29BD"/>
    <w:rsid w:val="00D03941"/>
    <w:rsid w:val="00D1101B"/>
    <w:rsid w:val="00D23FD9"/>
    <w:rsid w:val="00D3516F"/>
    <w:rsid w:val="00D35FC0"/>
    <w:rsid w:val="00D44E27"/>
    <w:rsid w:val="00D64D59"/>
    <w:rsid w:val="00D8061B"/>
    <w:rsid w:val="00D810E9"/>
    <w:rsid w:val="00D96FEE"/>
    <w:rsid w:val="00DA0148"/>
    <w:rsid w:val="00DB0FDA"/>
    <w:rsid w:val="00DB69E1"/>
    <w:rsid w:val="00DB74A2"/>
    <w:rsid w:val="00DC3A11"/>
    <w:rsid w:val="00DD71BE"/>
    <w:rsid w:val="00DE2AC9"/>
    <w:rsid w:val="00DE636A"/>
    <w:rsid w:val="00DF017C"/>
    <w:rsid w:val="00E27396"/>
    <w:rsid w:val="00E5348D"/>
    <w:rsid w:val="00E71AB8"/>
    <w:rsid w:val="00E834EF"/>
    <w:rsid w:val="00E86925"/>
    <w:rsid w:val="00EA1D11"/>
    <w:rsid w:val="00EC5518"/>
    <w:rsid w:val="00EC5EF5"/>
    <w:rsid w:val="00EC788C"/>
    <w:rsid w:val="00EE5029"/>
    <w:rsid w:val="00EF152F"/>
    <w:rsid w:val="00EF48CF"/>
    <w:rsid w:val="00F21D7B"/>
    <w:rsid w:val="00F238EE"/>
    <w:rsid w:val="00F36D5B"/>
    <w:rsid w:val="00F45BD3"/>
    <w:rsid w:val="00F51A31"/>
    <w:rsid w:val="00F66BB3"/>
    <w:rsid w:val="00F7483E"/>
    <w:rsid w:val="00FA1EB6"/>
    <w:rsid w:val="00FB7B4C"/>
    <w:rsid w:val="00FD0AB1"/>
    <w:rsid w:val="00FF27AA"/>
    <w:rsid w:val="00FF3CD6"/>
    <w:rsid w:val="00FF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EC00C0-4DCE-40A1-9A16-38680F3D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bCs/>
      <w:color w:val="000000"/>
      <w:sz w:val="24"/>
      <w:u w:val="single"/>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A4E7B"/>
    <w:rPr>
      <w:rFonts w:ascii="Tahoma" w:hAnsi="Tahoma" w:cs="Tahoma"/>
      <w:sz w:val="16"/>
      <w:szCs w:val="16"/>
    </w:rPr>
  </w:style>
  <w:style w:type="table" w:styleId="TableGrid">
    <w:name w:val="Table Grid"/>
    <w:basedOn w:val="TableNormal"/>
    <w:rsid w:val="00772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94E"/>
    <w:pPr>
      <w:spacing w:after="200" w:line="276" w:lineRule="auto"/>
      <w:ind w:left="720"/>
      <w:contextualSpacing/>
    </w:pPr>
    <w:rPr>
      <w:rFonts w:ascii="Calibri" w:eastAsia="Calibri" w:hAnsi="Calibri"/>
      <w:sz w:val="22"/>
      <w:szCs w:val="22"/>
    </w:rPr>
  </w:style>
  <w:style w:type="character" w:styleId="CommentReference">
    <w:name w:val="annotation reference"/>
    <w:rsid w:val="00FD0AB1"/>
    <w:rPr>
      <w:sz w:val="16"/>
      <w:szCs w:val="16"/>
    </w:rPr>
  </w:style>
  <w:style w:type="paragraph" w:styleId="CommentText">
    <w:name w:val="annotation text"/>
    <w:basedOn w:val="Normal"/>
    <w:link w:val="CommentTextChar"/>
    <w:rsid w:val="00FD0AB1"/>
  </w:style>
  <w:style w:type="character" w:customStyle="1" w:styleId="CommentTextChar">
    <w:name w:val="Comment Text Char"/>
    <w:basedOn w:val="DefaultParagraphFont"/>
    <w:link w:val="CommentText"/>
    <w:rsid w:val="00FD0AB1"/>
  </w:style>
  <w:style w:type="paragraph" w:styleId="CommentSubject">
    <w:name w:val="annotation subject"/>
    <w:basedOn w:val="CommentText"/>
    <w:next w:val="CommentText"/>
    <w:link w:val="CommentSubjectChar"/>
    <w:rsid w:val="00FD0AB1"/>
    <w:rPr>
      <w:b/>
      <w:bCs/>
    </w:rPr>
  </w:style>
  <w:style w:type="character" w:customStyle="1" w:styleId="CommentSubjectChar">
    <w:name w:val="Comment Subject Char"/>
    <w:link w:val="CommentSubject"/>
    <w:rsid w:val="00FD0AB1"/>
    <w:rPr>
      <w:b/>
      <w:bCs/>
    </w:rPr>
  </w:style>
  <w:style w:type="character" w:styleId="Hyperlink">
    <w:name w:val="Hyperlink"/>
    <w:basedOn w:val="DefaultParagraphFont"/>
    <w:rsid w:val="00327A1C"/>
    <w:rPr>
      <w:color w:val="0000FF" w:themeColor="hyperlink"/>
      <w:u w:val="single"/>
    </w:rPr>
  </w:style>
  <w:style w:type="paragraph" w:styleId="ListBullet">
    <w:name w:val="List Bullet"/>
    <w:basedOn w:val="Normal"/>
    <w:rsid w:val="00346A28"/>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76782">
      <w:bodyDiv w:val="1"/>
      <w:marLeft w:val="0"/>
      <w:marRight w:val="0"/>
      <w:marTop w:val="0"/>
      <w:marBottom w:val="0"/>
      <w:divBdr>
        <w:top w:val="none" w:sz="0" w:space="0" w:color="auto"/>
        <w:left w:val="none" w:sz="0" w:space="0" w:color="auto"/>
        <w:bottom w:val="none" w:sz="0" w:space="0" w:color="auto"/>
        <w:right w:val="none" w:sz="0" w:space="0" w:color="auto"/>
      </w:divBdr>
    </w:div>
    <w:div w:id="711153078">
      <w:bodyDiv w:val="1"/>
      <w:marLeft w:val="0"/>
      <w:marRight w:val="0"/>
      <w:marTop w:val="0"/>
      <w:marBottom w:val="0"/>
      <w:divBdr>
        <w:top w:val="none" w:sz="0" w:space="0" w:color="auto"/>
        <w:left w:val="none" w:sz="0" w:space="0" w:color="auto"/>
        <w:bottom w:val="none" w:sz="0" w:space="0" w:color="auto"/>
        <w:right w:val="none" w:sz="0" w:space="0" w:color="auto"/>
      </w:divBdr>
    </w:div>
    <w:div w:id="734814508">
      <w:bodyDiv w:val="1"/>
      <w:marLeft w:val="0"/>
      <w:marRight w:val="0"/>
      <w:marTop w:val="0"/>
      <w:marBottom w:val="0"/>
      <w:divBdr>
        <w:top w:val="none" w:sz="0" w:space="0" w:color="auto"/>
        <w:left w:val="none" w:sz="0" w:space="0" w:color="auto"/>
        <w:bottom w:val="none" w:sz="0" w:space="0" w:color="auto"/>
        <w:right w:val="none" w:sz="0" w:space="0" w:color="auto"/>
      </w:divBdr>
    </w:div>
    <w:div w:id="789202865">
      <w:bodyDiv w:val="1"/>
      <w:marLeft w:val="0"/>
      <w:marRight w:val="0"/>
      <w:marTop w:val="0"/>
      <w:marBottom w:val="0"/>
      <w:divBdr>
        <w:top w:val="none" w:sz="0" w:space="0" w:color="auto"/>
        <w:left w:val="none" w:sz="0" w:space="0" w:color="auto"/>
        <w:bottom w:val="none" w:sz="0" w:space="0" w:color="auto"/>
        <w:right w:val="none" w:sz="0" w:space="0" w:color="auto"/>
      </w:divBdr>
    </w:div>
    <w:div w:id="1005211731">
      <w:bodyDiv w:val="1"/>
      <w:marLeft w:val="0"/>
      <w:marRight w:val="0"/>
      <w:marTop w:val="0"/>
      <w:marBottom w:val="0"/>
      <w:divBdr>
        <w:top w:val="none" w:sz="0" w:space="0" w:color="auto"/>
        <w:left w:val="none" w:sz="0" w:space="0" w:color="auto"/>
        <w:bottom w:val="none" w:sz="0" w:space="0" w:color="auto"/>
        <w:right w:val="none" w:sz="0" w:space="0" w:color="auto"/>
      </w:divBdr>
      <w:divsChild>
        <w:div w:id="985207851">
          <w:marLeft w:val="0"/>
          <w:marRight w:val="0"/>
          <w:marTop w:val="0"/>
          <w:marBottom w:val="0"/>
          <w:divBdr>
            <w:top w:val="none" w:sz="0" w:space="0" w:color="auto"/>
            <w:left w:val="none" w:sz="0" w:space="0" w:color="auto"/>
            <w:bottom w:val="none" w:sz="0" w:space="0" w:color="auto"/>
            <w:right w:val="none" w:sz="0" w:space="0" w:color="auto"/>
          </w:divBdr>
          <w:divsChild>
            <w:div w:id="1284964921">
              <w:marLeft w:val="0"/>
              <w:marRight w:val="0"/>
              <w:marTop w:val="0"/>
              <w:marBottom w:val="0"/>
              <w:divBdr>
                <w:top w:val="none" w:sz="0" w:space="0" w:color="auto"/>
                <w:left w:val="none" w:sz="0" w:space="0" w:color="auto"/>
                <w:bottom w:val="none" w:sz="0" w:space="0" w:color="auto"/>
                <w:right w:val="none" w:sz="0" w:space="0" w:color="auto"/>
              </w:divBdr>
              <w:divsChild>
                <w:div w:id="1899709360">
                  <w:marLeft w:val="0"/>
                  <w:marRight w:val="0"/>
                  <w:marTop w:val="0"/>
                  <w:marBottom w:val="0"/>
                  <w:divBdr>
                    <w:top w:val="none" w:sz="0" w:space="0" w:color="auto"/>
                    <w:left w:val="none" w:sz="0" w:space="0" w:color="auto"/>
                    <w:bottom w:val="none" w:sz="0" w:space="0" w:color="auto"/>
                    <w:right w:val="none" w:sz="0" w:space="0" w:color="auto"/>
                  </w:divBdr>
                  <w:divsChild>
                    <w:div w:id="1904826170">
                      <w:marLeft w:val="0"/>
                      <w:marRight w:val="0"/>
                      <w:marTop w:val="0"/>
                      <w:marBottom w:val="0"/>
                      <w:divBdr>
                        <w:top w:val="none" w:sz="0" w:space="0" w:color="auto"/>
                        <w:left w:val="none" w:sz="0" w:space="0" w:color="auto"/>
                        <w:bottom w:val="none" w:sz="0" w:space="0" w:color="auto"/>
                        <w:right w:val="none" w:sz="0" w:space="0" w:color="auto"/>
                      </w:divBdr>
                    </w:div>
                    <w:div w:id="19892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15044">
      <w:bodyDiv w:val="1"/>
      <w:marLeft w:val="0"/>
      <w:marRight w:val="0"/>
      <w:marTop w:val="0"/>
      <w:marBottom w:val="0"/>
      <w:divBdr>
        <w:top w:val="none" w:sz="0" w:space="0" w:color="auto"/>
        <w:left w:val="none" w:sz="0" w:space="0" w:color="auto"/>
        <w:bottom w:val="none" w:sz="0" w:space="0" w:color="auto"/>
        <w:right w:val="none" w:sz="0" w:space="0" w:color="auto"/>
      </w:divBdr>
    </w:div>
    <w:div w:id="1734156792">
      <w:bodyDiv w:val="1"/>
      <w:marLeft w:val="0"/>
      <w:marRight w:val="0"/>
      <w:marTop w:val="0"/>
      <w:marBottom w:val="0"/>
      <w:divBdr>
        <w:top w:val="none" w:sz="0" w:space="0" w:color="auto"/>
        <w:left w:val="none" w:sz="0" w:space="0" w:color="auto"/>
        <w:bottom w:val="none" w:sz="0" w:space="0" w:color="auto"/>
        <w:right w:val="none" w:sz="0" w:space="0" w:color="auto"/>
      </w:divBdr>
      <w:divsChild>
        <w:div w:id="543057356">
          <w:marLeft w:val="0"/>
          <w:marRight w:val="0"/>
          <w:marTop w:val="0"/>
          <w:marBottom w:val="0"/>
          <w:divBdr>
            <w:top w:val="none" w:sz="0" w:space="0" w:color="auto"/>
            <w:left w:val="none" w:sz="0" w:space="0" w:color="auto"/>
            <w:bottom w:val="none" w:sz="0" w:space="0" w:color="auto"/>
            <w:right w:val="single" w:sz="6" w:space="0" w:color="CCCCCC"/>
          </w:divBdr>
          <w:divsChild>
            <w:div w:id="1227959767">
              <w:marLeft w:val="0"/>
              <w:marRight w:val="0"/>
              <w:marTop w:val="0"/>
              <w:marBottom w:val="0"/>
              <w:divBdr>
                <w:top w:val="none" w:sz="0" w:space="0" w:color="auto"/>
                <w:left w:val="none" w:sz="0" w:space="0" w:color="auto"/>
                <w:bottom w:val="none" w:sz="0" w:space="0" w:color="auto"/>
                <w:right w:val="none" w:sz="0" w:space="0" w:color="auto"/>
              </w:divBdr>
              <w:divsChild>
                <w:div w:id="2124036602">
                  <w:marLeft w:val="0"/>
                  <w:marRight w:val="0"/>
                  <w:marTop w:val="0"/>
                  <w:marBottom w:val="0"/>
                  <w:divBdr>
                    <w:top w:val="none" w:sz="0" w:space="0" w:color="auto"/>
                    <w:left w:val="none" w:sz="0" w:space="0" w:color="auto"/>
                    <w:bottom w:val="none" w:sz="0" w:space="0" w:color="auto"/>
                    <w:right w:val="none" w:sz="0" w:space="0" w:color="auto"/>
                  </w:divBdr>
                  <w:divsChild>
                    <w:div w:id="517699562">
                      <w:marLeft w:val="0"/>
                      <w:marRight w:val="0"/>
                      <w:marTop w:val="0"/>
                      <w:marBottom w:val="0"/>
                      <w:divBdr>
                        <w:top w:val="none" w:sz="0" w:space="0" w:color="auto"/>
                        <w:left w:val="none" w:sz="0" w:space="0" w:color="auto"/>
                        <w:bottom w:val="none" w:sz="0" w:space="0" w:color="auto"/>
                        <w:right w:val="none" w:sz="0" w:space="0" w:color="auto"/>
                      </w:divBdr>
                      <w:divsChild>
                        <w:div w:id="2021617302">
                          <w:marLeft w:val="0"/>
                          <w:marRight w:val="0"/>
                          <w:marTop w:val="0"/>
                          <w:marBottom w:val="0"/>
                          <w:divBdr>
                            <w:top w:val="none" w:sz="0" w:space="0" w:color="auto"/>
                            <w:left w:val="none" w:sz="0" w:space="0" w:color="auto"/>
                            <w:bottom w:val="none" w:sz="0" w:space="0" w:color="auto"/>
                            <w:right w:val="none" w:sz="0" w:space="0" w:color="auto"/>
                          </w:divBdr>
                          <w:divsChild>
                            <w:div w:id="1135215833">
                              <w:marLeft w:val="0"/>
                              <w:marRight w:val="0"/>
                              <w:marTop w:val="0"/>
                              <w:marBottom w:val="0"/>
                              <w:divBdr>
                                <w:top w:val="none" w:sz="0" w:space="0" w:color="auto"/>
                                <w:left w:val="none" w:sz="0" w:space="0" w:color="auto"/>
                                <w:bottom w:val="none" w:sz="0" w:space="0" w:color="auto"/>
                                <w:right w:val="none" w:sz="0" w:space="0" w:color="auto"/>
                              </w:divBdr>
                              <w:divsChild>
                                <w:div w:id="1520658448">
                                  <w:marLeft w:val="0"/>
                                  <w:marRight w:val="0"/>
                                  <w:marTop w:val="0"/>
                                  <w:marBottom w:val="0"/>
                                  <w:divBdr>
                                    <w:top w:val="none" w:sz="0" w:space="0" w:color="auto"/>
                                    <w:left w:val="none" w:sz="0" w:space="0" w:color="auto"/>
                                    <w:bottom w:val="none" w:sz="0" w:space="0" w:color="auto"/>
                                    <w:right w:val="none" w:sz="0" w:space="0" w:color="auto"/>
                                  </w:divBdr>
                                  <w:divsChild>
                                    <w:div w:id="846211424">
                                      <w:marLeft w:val="0"/>
                                      <w:marRight w:val="0"/>
                                      <w:marTop w:val="0"/>
                                      <w:marBottom w:val="0"/>
                                      <w:divBdr>
                                        <w:top w:val="none" w:sz="0" w:space="0" w:color="auto"/>
                                        <w:left w:val="none" w:sz="0" w:space="0" w:color="auto"/>
                                        <w:bottom w:val="none" w:sz="0" w:space="0" w:color="auto"/>
                                        <w:right w:val="none" w:sz="0" w:space="0" w:color="auto"/>
                                      </w:divBdr>
                                      <w:divsChild>
                                        <w:div w:id="1276206668">
                                          <w:marLeft w:val="0"/>
                                          <w:marRight w:val="0"/>
                                          <w:marTop w:val="0"/>
                                          <w:marBottom w:val="0"/>
                                          <w:divBdr>
                                            <w:top w:val="none" w:sz="0" w:space="0" w:color="auto"/>
                                            <w:left w:val="none" w:sz="0" w:space="0" w:color="auto"/>
                                            <w:bottom w:val="none" w:sz="0" w:space="0" w:color="auto"/>
                                            <w:right w:val="none" w:sz="0" w:space="0" w:color="auto"/>
                                          </w:divBdr>
                                          <w:divsChild>
                                            <w:div w:id="348607102">
                                              <w:marLeft w:val="0"/>
                                              <w:marRight w:val="0"/>
                                              <w:marTop w:val="0"/>
                                              <w:marBottom w:val="0"/>
                                              <w:divBdr>
                                                <w:top w:val="none" w:sz="0" w:space="0" w:color="auto"/>
                                                <w:left w:val="none" w:sz="0" w:space="0" w:color="auto"/>
                                                <w:bottom w:val="none" w:sz="0" w:space="0" w:color="auto"/>
                                                <w:right w:val="none" w:sz="0" w:space="0" w:color="auto"/>
                                              </w:divBdr>
                                              <w:divsChild>
                                                <w:div w:id="73019382">
                                                  <w:marLeft w:val="0"/>
                                                  <w:marRight w:val="0"/>
                                                  <w:marTop w:val="0"/>
                                                  <w:marBottom w:val="0"/>
                                                  <w:divBdr>
                                                    <w:top w:val="none" w:sz="0" w:space="0" w:color="auto"/>
                                                    <w:left w:val="none" w:sz="0" w:space="0" w:color="auto"/>
                                                    <w:bottom w:val="none" w:sz="0" w:space="0" w:color="auto"/>
                                                    <w:right w:val="none" w:sz="0" w:space="0" w:color="auto"/>
                                                  </w:divBdr>
                                                  <w:divsChild>
                                                    <w:div w:id="1216159973">
                                                      <w:marLeft w:val="0"/>
                                                      <w:marRight w:val="0"/>
                                                      <w:marTop w:val="0"/>
                                                      <w:marBottom w:val="0"/>
                                                      <w:divBdr>
                                                        <w:top w:val="none" w:sz="0" w:space="0" w:color="auto"/>
                                                        <w:left w:val="none" w:sz="0" w:space="0" w:color="auto"/>
                                                        <w:bottom w:val="none" w:sz="0" w:space="0" w:color="auto"/>
                                                        <w:right w:val="none" w:sz="0" w:space="0" w:color="auto"/>
                                                      </w:divBdr>
                                                      <w:divsChild>
                                                        <w:div w:id="1969704310">
                                                          <w:marLeft w:val="0"/>
                                                          <w:marRight w:val="0"/>
                                                          <w:marTop w:val="0"/>
                                                          <w:marBottom w:val="0"/>
                                                          <w:divBdr>
                                                            <w:top w:val="none" w:sz="0" w:space="0" w:color="auto"/>
                                                            <w:left w:val="none" w:sz="0" w:space="0" w:color="auto"/>
                                                            <w:bottom w:val="none" w:sz="0" w:space="0" w:color="auto"/>
                                                            <w:right w:val="none" w:sz="0" w:space="0" w:color="auto"/>
                                                          </w:divBdr>
                                                          <w:divsChild>
                                                            <w:div w:id="704019287">
                                                              <w:marLeft w:val="0"/>
                                                              <w:marRight w:val="0"/>
                                                              <w:marTop w:val="0"/>
                                                              <w:marBottom w:val="0"/>
                                                              <w:divBdr>
                                                                <w:top w:val="none" w:sz="0" w:space="0" w:color="auto"/>
                                                                <w:left w:val="none" w:sz="0" w:space="0" w:color="auto"/>
                                                                <w:bottom w:val="none" w:sz="0" w:space="0" w:color="auto"/>
                                                                <w:right w:val="none" w:sz="0" w:space="0" w:color="auto"/>
                                                              </w:divBdr>
                                                              <w:divsChild>
                                                                <w:div w:id="1336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71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wc@esc11.net" TargetMode="External"/><Relationship Id="rId3" Type="http://schemas.openxmlformats.org/officeDocument/2006/relationships/settings" Target="settings.xml"/><Relationship Id="rId7" Type="http://schemas.openxmlformats.org/officeDocument/2006/relationships/hyperlink" Target="http://www.edlett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atterson@esc11.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Agenda</vt:lpstr>
    </vt:vector>
  </TitlesOfParts>
  <Company>Owens Corning</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Blank Agenda</dc:subject>
  <dc:creator>Shirley Crawford</dc:creator>
  <cp:lastModifiedBy>Harris, Mary</cp:lastModifiedBy>
  <cp:revision>2</cp:revision>
  <cp:lastPrinted>2014-07-18T15:11:00Z</cp:lastPrinted>
  <dcterms:created xsi:type="dcterms:W3CDTF">2015-07-03T18:45:00Z</dcterms:created>
  <dcterms:modified xsi:type="dcterms:W3CDTF">2015-07-03T18:45:00Z</dcterms:modified>
</cp:coreProperties>
</file>