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227A6">
        <w:rPr>
          <w:rFonts w:cstheme="minorHAnsi"/>
          <w:b/>
          <w:sz w:val="24"/>
          <w:szCs w:val="24"/>
        </w:rPr>
        <w:t>ESC 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Team</w:t>
            </w:r>
            <w:r w:rsidR="00AF42F1">
              <w:rPr>
                <w:rFonts w:cstheme="minorHAnsi"/>
              </w:rPr>
              <w:t xml:space="preserve"> Training &amp; Planning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Team Orientation, Training, &amp; Planning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10-19</w:t>
            </w:r>
            <w:r w:rsidR="008227A6">
              <w:rPr>
                <w:rFonts w:cstheme="minorHAnsi"/>
              </w:rPr>
              <w:t>-12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8227A6">
              <w:rPr>
                <w:rFonts w:cstheme="minorHAnsi"/>
              </w:rPr>
              <w:t>:00 am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72026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11:00 am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16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  <w:tc>
          <w:tcPr>
            <w:tcW w:w="387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Introductions</w:t>
            </w:r>
          </w:p>
        </w:tc>
        <w:tc>
          <w:tcPr>
            <w:tcW w:w="162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Tammy Nash – Amarillo High School; Cheryl Freeman – Canyon High School; Pam Walker – Borger High School; Beth Summers – Frank Phillips College; Tammy Holmes – Amarillo College; Linda Rowland – Clarendon College</w:t>
            </w:r>
            <w:r w:rsidR="00B3344A">
              <w:rPr>
                <w:rFonts w:cstheme="minorHAnsi"/>
              </w:rPr>
              <w:t xml:space="preserve"> (not present)</w:t>
            </w:r>
            <w:r>
              <w:rPr>
                <w:rFonts w:cstheme="minorHAnsi"/>
              </w:rPr>
              <w:t>; Gregg Lawler – West Texas A&amp;M University; Gwen Hicks – Region 16 ESC</w:t>
            </w:r>
            <w:r w:rsidR="00B3344A">
              <w:rPr>
                <w:rFonts w:cstheme="minorHAnsi"/>
              </w:rPr>
              <w:t xml:space="preserve"> (not present)</w:t>
            </w:r>
            <w:r>
              <w:rPr>
                <w:rFonts w:cstheme="minorHAnsi"/>
              </w:rPr>
              <w:t>; Robin Adkins – Panhandle P-16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9:05</w:t>
            </w:r>
          </w:p>
        </w:tc>
        <w:tc>
          <w:tcPr>
            <w:tcW w:w="387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Module 1</w:t>
            </w:r>
          </w:p>
        </w:tc>
        <w:tc>
          <w:tcPr>
            <w:tcW w:w="162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need for and purpose of AVATAR Project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B235B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9:45</w:t>
            </w:r>
          </w:p>
        </w:tc>
        <w:tc>
          <w:tcPr>
            <w:tcW w:w="387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Training Module 2</w:t>
            </w:r>
          </w:p>
        </w:tc>
        <w:tc>
          <w:tcPr>
            <w:tcW w:w="1620" w:type="dxa"/>
            <w:vAlign w:val="center"/>
          </w:tcPr>
          <w:p w:rsidR="00007C40" w:rsidRPr="00007C40" w:rsidRDefault="0072026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2610" w:type="dxa"/>
            <w:vAlign w:val="center"/>
          </w:tcPr>
          <w:p w:rsidR="00007C40" w:rsidRPr="00007C40" w:rsidRDefault="00D1011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007C40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Discuss: Conley’s principles; College and career readiness.</w:t>
            </w:r>
          </w:p>
        </w:tc>
      </w:tr>
      <w:tr w:rsidR="00B235B7" w:rsidRPr="00007C40" w:rsidTr="00B235B7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</w:p>
        </w:tc>
        <w:tc>
          <w:tcPr>
            <w:tcW w:w="387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16 Data PowerPoint</w:t>
            </w:r>
          </w:p>
        </w:tc>
        <w:tc>
          <w:tcPr>
            <w:tcW w:w="162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261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needs in our region based upon the data.</w:t>
            </w:r>
          </w:p>
        </w:tc>
      </w:tr>
      <w:tr w:rsidR="00B235B7" w:rsidRPr="00007C40" w:rsidTr="00B235B7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  <w:tc>
          <w:tcPr>
            <w:tcW w:w="387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Review: Due Dates &amp; Deliverables; Sample Action &amp; Sustainability Plan</w:t>
            </w:r>
          </w:p>
        </w:tc>
        <w:tc>
          <w:tcPr>
            <w:tcW w:w="162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P/F/D</w:t>
            </w:r>
          </w:p>
        </w:tc>
        <w:tc>
          <w:tcPr>
            <w:tcW w:w="261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 expectations; Create Regional Action &amp; Sustainability Plan</w:t>
            </w:r>
            <w:r w:rsidR="003F7CDD">
              <w:rPr>
                <w:rFonts w:cstheme="minorHAnsi"/>
              </w:rPr>
              <w:t xml:space="preserve"> for submission.</w:t>
            </w:r>
          </w:p>
        </w:tc>
      </w:tr>
      <w:tr w:rsidR="00B235B7" w:rsidRPr="00007C40" w:rsidTr="00B235B7">
        <w:trPr>
          <w:trHeight w:val="980"/>
        </w:trPr>
        <w:tc>
          <w:tcPr>
            <w:tcW w:w="1368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10:50</w:t>
            </w:r>
          </w:p>
        </w:tc>
        <w:tc>
          <w:tcPr>
            <w:tcW w:w="387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Next steps &amp; potential meeting dates.</w:t>
            </w:r>
          </w:p>
        </w:tc>
        <w:tc>
          <w:tcPr>
            <w:tcW w:w="162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  <w:r w:rsidR="003F7CDD">
              <w:rPr>
                <w:rFonts w:cstheme="minorHAnsi"/>
              </w:rPr>
              <w:t>/D</w:t>
            </w:r>
          </w:p>
        </w:tc>
        <w:tc>
          <w:tcPr>
            <w:tcW w:w="2610" w:type="dxa"/>
            <w:vAlign w:val="center"/>
          </w:tcPr>
          <w:p w:rsidR="00B235B7" w:rsidRPr="00007C40" w:rsidRDefault="00B235B7" w:rsidP="00B235B7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C24B14" w:rsidRDefault="003F7CDD" w:rsidP="00C24B14">
            <w:pPr>
              <w:rPr>
                <w:rFonts w:cstheme="minorHAnsi"/>
              </w:rPr>
            </w:pPr>
            <w:r>
              <w:rPr>
                <w:rFonts w:cstheme="minorHAnsi"/>
              </w:rPr>
              <w:t>Obtain and review</w:t>
            </w:r>
            <w:r w:rsidR="00C24B14">
              <w:rPr>
                <w:rFonts w:cstheme="minorHAnsi"/>
              </w:rPr>
              <w:t>: Course Profile Information; Final exam examples (IHE &amp; HS); Numbers of students taking developmental educ. and College Algebra and success by HS.</w:t>
            </w:r>
          </w:p>
          <w:p w:rsidR="00B235B7" w:rsidRPr="00007C40" w:rsidRDefault="003F7CDD" w:rsidP="00C24B1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Set </w:t>
            </w:r>
            <w:r w:rsidR="00C24B14">
              <w:rPr>
                <w:rFonts w:cstheme="minorHAnsi"/>
              </w:rPr>
              <w:t xml:space="preserve">next </w:t>
            </w:r>
            <w:r>
              <w:rPr>
                <w:rFonts w:cstheme="minorHAnsi"/>
              </w:rPr>
              <w:t>meeting date.</w:t>
            </w:r>
          </w:p>
        </w:tc>
      </w:tr>
    </w:tbl>
    <w:p w:rsidR="00B235B7" w:rsidRDefault="00B235B7" w:rsidP="00EC4FB6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187090" w:rsidRDefault="00187090" w:rsidP="00EC4FB6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B3344A" w:rsidRPr="00EC4FB6" w:rsidTr="000B251E">
        <w:trPr>
          <w:trHeight w:val="530"/>
        </w:trPr>
        <w:tc>
          <w:tcPr>
            <w:tcW w:w="7038" w:type="dxa"/>
          </w:tcPr>
          <w:p w:rsidR="00B3344A" w:rsidRDefault="00B3344A" w:rsidP="00B334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Submit Regional Action &amp; Sustainability Plan based upon team discussions.</w:t>
            </w:r>
          </w:p>
        </w:tc>
        <w:tc>
          <w:tcPr>
            <w:tcW w:w="3780" w:type="dxa"/>
          </w:tcPr>
          <w:p w:rsidR="00B3344A" w:rsidRDefault="00B3344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078" w:type="dxa"/>
          </w:tcPr>
          <w:p w:rsidR="00B3344A" w:rsidRDefault="00B3344A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Mon., Oct. 29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06CC" w:rsidP="00D101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IHE compile, by Amarillo HS, Borger HS, and Canyon HS, numbers of students who enroll in developmental math classes and college</w:t>
            </w:r>
            <w:r w:rsidR="006B5F84">
              <w:rPr>
                <w:rFonts w:cstheme="minorHAnsi"/>
                <w:sz w:val="20"/>
                <w:szCs w:val="20"/>
              </w:rPr>
              <w:t xml:space="preserve"> algebra classes, and outcomes (</w:t>
            </w:r>
            <w:r>
              <w:rPr>
                <w:rFonts w:cstheme="minorHAnsi"/>
                <w:sz w:val="20"/>
                <w:szCs w:val="20"/>
              </w:rPr>
              <w:t>drops, completers, grades earned</w:t>
            </w:r>
            <w:r w:rsidR="006B5F84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.  Bring to 11/16 meeting.</w:t>
            </w:r>
          </w:p>
        </w:tc>
        <w:tc>
          <w:tcPr>
            <w:tcW w:w="3780" w:type="dxa"/>
          </w:tcPr>
          <w:p w:rsidR="00EC4FB6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Tammy Holmes, Gregg Lawler, Beth Summers</w:t>
            </w:r>
          </w:p>
        </w:tc>
        <w:tc>
          <w:tcPr>
            <w:tcW w:w="3078" w:type="dxa"/>
          </w:tcPr>
          <w:p w:rsidR="00EC4FB6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Fri., Nov. 16</w:t>
            </w:r>
          </w:p>
        </w:tc>
      </w:tr>
      <w:tr w:rsidR="00EC06CC" w:rsidRPr="00EC4FB6" w:rsidTr="000B251E">
        <w:trPr>
          <w:trHeight w:val="620"/>
        </w:trPr>
        <w:tc>
          <w:tcPr>
            <w:tcW w:w="7038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Each IHE bring syllabi and Reference Course Profile information for College Algebra to 11/16 meeting.</w:t>
            </w:r>
          </w:p>
        </w:tc>
        <w:tc>
          <w:tcPr>
            <w:tcW w:w="3780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Tammy Holmes, Gregg Lawler, Beth Summers</w:t>
            </w:r>
          </w:p>
        </w:tc>
        <w:tc>
          <w:tcPr>
            <w:tcW w:w="3078" w:type="dxa"/>
          </w:tcPr>
          <w:p w:rsidR="00EC06CC" w:rsidRPr="00EC4FB6" w:rsidRDefault="00EC06CC" w:rsidP="00EC06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Fri., Nov. 16</w:t>
            </w:r>
          </w:p>
        </w:tc>
      </w:tr>
      <w:tr w:rsidR="00EC06CC" w:rsidRPr="00EC4FB6" w:rsidTr="000B251E">
        <w:trPr>
          <w:trHeight w:val="620"/>
        </w:trPr>
        <w:tc>
          <w:tcPr>
            <w:tcW w:w="7038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Bring Math CCRS for each team member to 11/16 meeting.</w:t>
            </w:r>
          </w:p>
        </w:tc>
        <w:tc>
          <w:tcPr>
            <w:tcW w:w="3780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078" w:type="dxa"/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Fri., Nov. 16</w:t>
            </w:r>
          </w:p>
        </w:tc>
      </w:tr>
      <w:tr w:rsidR="00EC06CC" w:rsidRPr="00EC4FB6" w:rsidTr="00187090">
        <w:trPr>
          <w:trHeight w:val="1205"/>
        </w:trPr>
        <w:tc>
          <w:tcPr>
            <w:tcW w:w="7038" w:type="dxa"/>
            <w:tcBorders>
              <w:bottom w:val="single" w:sz="4" w:space="0" w:color="auto"/>
            </w:tcBorders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06CC" w:rsidRPr="00EC4FB6" w:rsidRDefault="00EC06CC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06CC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06CC" w:rsidRPr="00EC4FB6" w:rsidRDefault="00EC06CC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06CC" w:rsidRPr="00EC4FB6" w:rsidTr="00187090">
        <w:trPr>
          <w:trHeight w:val="2411"/>
        </w:trPr>
        <w:tc>
          <w:tcPr>
            <w:tcW w:w="13896" w:type="dxa"/>
            <w:gridSpan w:val="3"/>
          </w:tcPr>
          <w:p w:rsidR="00BD17A7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Discussions revolved around</w:t>
            </w:r>
            <w:r w:rsidR="00BD17A7">
              <w:rPr>
                <w:rFonts w:cstheme="minorHAnsi"/>
                <w:sz w:val="20"/>
                <w:szCs w:val="20"/>
              </w:rPr>
              <w:t xml:space="preserve"> agenda items and</w:t>
            </w:r>
            <w:r>
              <w:rPr>
                <w:rFonts w:cstheme="minorHAnsi"/>
                <w:sz w:val="20"/>
                <w:szCs w:val="20"/>
              </w:rPr>
              <w:t xml:space="preserve"> the above action items.  </w:t>
            </w:r>
          </w:p>
          <w:p w:rsidR="00BD17A7" w:rsidRDefault="00BD17A7" w:rsidP="00EC4FB6">
            <w:pPr>
              <w:rPr>
                <w:rFonts w:cstheme="minorHAnsi"/>
                <w:sz w:val="20"/>
                <w:szCs w:val="20"/>
              </w:rPr>
            </w:pP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Also included, for future discussions: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when it’s most appropriate for high school students to use calculators and why.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possibility of IHE teachers imbedding common questions into College Algebra pre- and post-tests for analysis.</w:t>
            </w:r>
          </w:p>
          <w:p w:rsidR="00EC06CC" w:rsidRDefault="00EC0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--Discuss best online location to post </w:t>
            </w:r>
            <w:r w:rsidR="00BD17A7">
              <w:rPr>
                <w:rFonts w:cstheme="minorHAnsi"/>
                <w:sz w:val="20"/>
                <w:szCs w:val="20"/>
              </w:rPr>
              <w:t xml:space="preserve">our team’s </w:t>
            </w:r>
            <w:r>
              <w:rPr>
                <w:rFonts w:cstheme="minorHAnsi"/>
                <w:sz w:val="20"/>
                <w:szCs w:val="20"/>
              </w:rPr>
              <w:t>AVATAR</w:t>
            </w:r>
            <w:r w:rsidR="00BD17A7">
              <w:rPr>
                <w:rFonts w:cstheme="minorHAnsi"/>
                <w:sz w:val="20"/>
                <w:szCs w:val="20"/>
              </w:rPr>
              <w:t xml:space="preserve"> information: P16 content pages?  Project Share?</w:t>
            </w:r>
          </w:p>
          <w:p w:rsidR="00EF26EB" w:rsidRPr="00EC4FB6" w:rsidRDefault="00EF26EB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--Discuss IHE and HS teachers showing each other examples of pedagogy.</w:t>
            </w:r>
          </w:p>
        </w:tc>
      </w:tr>
    </w:tbl>
    <w:p w:rsidR="00187090" w:rsidRDefault="00187090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Gregg Lawler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West Texas A&amp;M University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Beth Summers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Frank Phillips College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Tammy Holmes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Instructor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Amarillo College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Pam Walker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Teacher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Borger High School</w:t>
            </w:r>
          </w:p>
        </w:tc>
      </w:tr>
      <w:tr w:rsidR="003F7CDD" w:rsidRPr="00EF26EB" w:rsidTr="000B251E">
        <w:trPr>
          <w:trHeight w:val="530"/>
        </w:trPr>
        <w:tc>
          <w:tcPr>
            <w:tcW w:w="496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Cheryl Freeman</w:t>
            </w:r>
          </w:p>
        </w:tc>
        <w:tc>
          <w:tcPr>
            <w:tcW w:w="3780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Teacher</w:t>
            </w:r>
          </w:p>
        </w:tc>
        <w:tc>
          <w:tcPr>
            <w:tcW w:w="5148" w:type="dxa"/>
          </w:tcPr>
          <w:p w:rsidR="003F7CDD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Canyon High School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Tammy Nash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Math Curriculum Specialist</w:t>
            </w:r>
          </w:p>
        </w:tc>
        <w:tc>
          <w:tcPr>
            <w:tcW w:w="514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Amarillo High School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780" w:type="dxa"/>
          </w:tcPr>
          <w:p w:rsidR="00EC4FB6" w:rsidRPr="00EF26EB" w:rsidRDefault="00DC1B10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P16 Specialist</w:t>
            </w:r>
          </w:p>
        </w:tc>
        <w:tc>
          <w:tcPr>
            <w:tcW w:w="5148" w:type="dxa"/>
          </w:tcPr>
          <w:p w:rsidR="00EC4FB6" w:rsidRPr="00EF26EB" w:rsidRDefault="003F7CDD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F26EB">
              <w:rPr>
                <w:rFonts w:cstheme="minorHAnsi"/>
                <w:sz w:val="20"/>
                <w:szCs w:val="20"/>
              </w:rPr>
              <w:t>Panhandle P16 Council/Region 16 ESC</w:t>
            </w:r>
          </w:p>
        </w:tc>
      </w:tr>
      <w:tr w:rsidR="00EC4FB6" w:rsidRPr="00EF26EB" w:rsidTr="000B251E">
        <w:trPr>
          <w:trHeight w:val="530"/>
        </w:trPr>
        <w:tc>
          <w:tcPr>
            <w:tcW w:w="4968" w:type="dxa"/>
          </w:tcPr>
          <w:p w:rsidR="00EC4FB6" w:rsidRPr="00EF26EB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F26EB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48" w:type="dxa"/>
          </w:tcPr>
          <w:p w:rsidR="00EC4FB6" w:rsidRPr="00EF26EB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F26EB" w:rsidRDefault="00EC4FB6" w:rsidP="002E1FF1">
      <w:pPr>
        <w:spacing w:after="0" w:line="240" w:lineRule="auto"/>
        <w:rPr>
          <w:rFonts w:cstheme="minorHAnsi"/>
          <w:sz w:val="20"/>
          <w:szCs w:val="20"/>
        </w:rPr>
      </w:pPr>
    </w:p>
    <w:sectPr w:rsidR="00EC4FB6" w:rsidRPr="00EF26EB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9A" w:rsidRDefault="0018469A" w:rsidP="00F9444B">
      <w:pPr>
        <w:spacing w:after="0" w:line="240" w:lineRule="auto"/>
      </w:pPr>
      <w:r>
        <w:separator/>
      </w:r>
    </w:p>
  </w:endnote>
  <w:endnote w:type="continuationSeparator" w:id="0">
    <w:p w:rsidR="0018469A" w:rsidRDefault="0018469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B3344A" w:rsidRPr="002E1FF1" w:rsidRDefault="00B3344A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187090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B3344A" w:rsidRDefault="00B334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9A" w:rsidRDefault="0018469A" w:rsidP="00F9444B">
      <w:pPr>
        <w:spacing w:after="0" w:line="240" w:lineRule="auto"/>
      </w:pPr>
      <w:r>
        <w:separator/>
      </w:r>
    </w:p>
  </w:footnote>
  <w:footnote w:type="continuationSeparator" w:id="0">
    <w:p w:rsidR="0018469A" w:rsidRDefault="0018469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8469A"/>
    <w:rsid w:val="00187090"/>
    <w:rsid w:val="001A6727"/>
    <w:rsid w:val="00232391"/>
    <w:rsid w:val="002E1FF1"/>
    <w:rsid w:val="0037348B"/>
    <w:rsid w:val="003D1AEE"/>
    <w:rsid w:val="003F7CDD"/>
    <w:rsid w:val="00624194"/>
    <w:rsid w:val="006B5F84"/>
    <w:rsid w:val="006D7A8C"/>
    <w:rsid w:val="0072026E"/>
    <w:rsid w:val="00757CCB"/>
    <w:rsid w:val="008227A6"/>
    <w:rsid w:val="00864BF3"/>
    <w:rsid w:val="008C1BEE"/>
    <w:rsid w:val="00AB39B1"/>
    <w:rsid w:val="00AF42F1"/>
    <w:rsid w:val="00B235B7"/>
    <w:rsid w:val="00B3344A"/>
    <w:rsid w:val="00BD17A7"/>
    <w:rsid w:val="00C24B14"/>
    <w:rsid w:val="00D1011E"/>
    <w:rsid w:val="00D251E7"/>
    <w:rsid w:val="00D30028"/>
    <w:rsid w:val="00DB6342"/>
    <w:rsid w:val="00DB6947"/>
    <w:rsid w:val="00DC1B10"/>
    <w:rsid w:val="00EC06CC"/>
    <w:rsid w:val="00EC4FB6"/>
    <w:rsid w:val="00EF26EB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2012-10-18T20:56:00Z</cp:lastPrinted>
  <dcterms:created xsi:type="dcterms:W3CDTF">2012-10-24T19:08:00Z</dcterms:created>
  <dcterms:modified xsi:type="dcterms:W3CDTF">2012-10-24T19:08:00Z</dcterms:modified>
</cp:coreProperties>
</file>